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49968C" w14:textId="77777777" w:rsidR="00477AF7" w:rsidRPr="00210FC2" w:rsidRDefault="00477AF7" w:rsidP="00477AF7">
      <w:pPr>
        <w:rPr>
          <w:rStyle w:val="IntenseReference"/>
        </w:rPr>
      </w:pPr>
      <w:bookmarkStart w:id="0" w:name="_Toc469316420"/>
    </w:p>
    <w:p w14:paraId="4A2149DB" w14:textId="77777777" w:rsidR="00477AF7" w:rsidRPr="00210FC2" w:rsidRDefault="00477AF7" w:rsidP="00477AF7">
      <w:pPr>
        <w:pStyle w:val="Title"/>
        <w:jc w:val="center"/>
        <w:rPr>
          <w:rStyle w:val="Strong"/>
          <w:rFonts w:ascii="Times New Roman" w:hAnsi="Times New Roman" w:cs="Times New Roman"/>
          <w:sz w:val="22"/>
          <w:szCs w:val="22"/>
        </w:rPr>
      </w:pPr>
    </w:p>
    <w:p w14:paraId="7A1B3DF5" w14:textId="77777777" w:rsidR="00477AF7" w:rsidRPr="00210FC2" w:rsidRDefault="00477AF7" w:rsidP="00477AF7">
      <w:pPr>
        <w:pStyle w:val="Title"/>
        <w:jc w:val="center"/>
        <w:rPr>
          <w:rStyle w:val="Strong"/>
          <w:rFonts w:ascii="Times New Roman" w:hAnsi="Times New Roman" w:cs="Times New Roman"/>
          <w:sz w:val="22"/>
          <w:szCs w:val="22"/>
        </w:rPr>
      </w:pPr>
    </w:p>
    <w:p w14:paraId="0224D353" w14:textId="77777777" w:rsidR="00477AF7" w:rsidRPr="00210FC2" w:rsidRDefault="00477AF7" w:rsidP="00477AF7">
      <w:pPr>
        <w:spacing w:before="120"/>
        <w:jc w:val="both"/>
        <w:rPr>
          <w:rFonts w:eastAsia="MS Mincho"/>
          <w:b/>
          <w:bCs/>
        </w:rPr>
      </w:pPr>
      <w:r w:rsidRPr="00210FC2">
        <w:rPr>
          <w:rFonts w:eastAsia="MS Mincho"/>
          <w:b/>
          <w:bCs/>
          <w:noProof/>
          <w:lang w:val="en-US"/>
        </w:rPr>
        <w:drawing>
          <wp:anchor distT="0" distB="0" distL="114300" distR="114300" simplePos="0" relativeHeight="251659264" behindDoc="1" locked="0" layoutInCell="1" allowOverlap="1" wp14:anchorId="4F492D55" wp14:editId="455CF9E8">
            <wp:simplePos x="0" y="0"/>
            <wp:positionH relativeFrom="column">
              <wp:posOffset>2499995</wp:posOffset>
            </wp:positionH>
            <wp:positionV relativeFrom="paragraph">
              <wp:posOffset>-311785</wp:posOffset>
            </wp:positionV>
            <wp:extent cx="722630" cy="800100"/>
            <wp:effectExtent l="0" t="0" r="127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2630" cy="800100"/>
                    </a:xfrm>
                    <a:prstGeom prst="rect">
                      <a:avLst/>
                    </a:prstGeom>
                    <a:noFill/>
                  </pic:spPr>
                </pic:pic>
              </a:graphicData>
            </a:graphic>
          </wp:anchor>
        </w:drawing>
      </w:r>
    </w:p>
    <w:p w14:paraId="59CBB93E" w14:textId="77777777" w:rsidR="00477AF7" w:rsidRPr="00210FC2" w:rsidRDefault="00477AF7" w:rsidP="00477AF7">
      <w:pPr>
        <w:spacing w:before="120"/>
        <w:jc w:val="both"/>
        <w:rPr>
          <w:rFonts w:eastAsia="MS Mincho"/>
          <w:b/>
          <w:bCs/>
          <w:lang w:eastAsia="el-GR"/>
        </w:rPr>
      </w:pPr>
    </w:p>
    <w:p w14:paraId="778E722A" w14:textId="77777777" w:rsidR="00477AF7" w:rsidRPr="008C3F94" w:rsidRDefault="00477AF7" w:rsidP="00477AF7">
      <w:pPr>
        <w:jc w:val="center"/>
        <w:rPr>
          <w:rFonts w:eastAsia="Batang"/>
          <w:b/>
          <w:bCs/>
        </w:rPr>
      </w:pPr>
      <w:r>
        <w:rPr>
          <w:b/>
          <w:bCs/>
        </w:rPr>
        <w:t>Republika e Kosovës</w:t>
      </w:r>
    </w:p>
    <w:p w14:paraId="2EBEA2A8" w14:textId="77777777" w:rsidR="00477AF7" w:rsidRPr="008C3F94" w:rsidRDefault="00477AF7" w:rsidP="00477AF7">
      <w:pPr>
        <w:jc w:val="center"/>
        <w:rPr>
          <w:rFonts w:eastAsia="MS Mincho"/>
          <w:b/>
          <w:bCs/>
        </w:rPr>
      </w:pPr>
      <w:r>
        <w:rPr>
          <w:b/>
          <w:bCs/>
        </w:rPr>
        <w:t>Republika Kosova-Republic of Kosovo</w:t>
      </w:r>
    </w:p>
    <w:p w14:paraId="6272C1FF" w14:textId="77777777" w:rsidR="00477AF7" w:rsidRPr="008C3F94" w:rsidRDefault="00477AF7" w:rsidP="00477AF7">
      <w:pPr>
        <w:jc w:val="center"/>
        <w:rPr>
          <w:i/>
        </w:rPr>
      </w:pPr>
      <w:bookmarkStart w:id="1" w:name="_Toc350765858"/>
      <w:bookmarkStart w:id="2" w:name="_Toc350773065"/>
      <w:bookmarkStart w:id="3" w:name="_Toc351638096"/>
      <w:bookmarkStart w:id="4" w:name="_Toc351638284"/>
      <w:bookmarkStart w:id="5" w:name="_Toc352329231"/>
      <w:bookmarkStart w:id="6" w:name="_Toc366052976"/>
      <w:r>
        <w:rPr>
          <w:i/>
        </w:rPr>
        <w:t>Qeveria –Vlada-Government</w:t>
      </w:r>
      <w:bookmarkEnd w:id="1"/>
      <w:bookmarkEnd w:id="2"/>
      <w:bookmarkEnd w:id="3"/>
      <w:bookmarkEnd w:id="4"/>
      <w:bookmarkEnd w:id="5"/>
      <w:bookmarkEnd w:id="6"/>
    </w:p>
    <w:p w14:paraId="678951F7" w14:textId="77777777" w:rsidR="00477AF7" w:rsidRPr="008C3F94" w:rsidRDefault="00477AF7" w:rsidP="00477AF7">
      <w:pPr>
        <w:jc w:val="center"/>
        <w:outlineLvl w:val="0"/>
        <w:rPr>
          <w:rFonts w:eastAsia="MS Mincho"/>
          <w:b/>
          <w:bCs/>
          <w:i/>
          <w:iCs/>
          <w:spacing w:val="-20"/>
          <w:kern w:val="28"/>
          <w:lang w:val="it-IT" w:eastAsia="el-GR"/>
        </w:rPr>
      </w:pPr>
    </w:p>
    <w:p w14:paraId="1A1A5403" w14:textId="77777777" w:rsidR="00477AF7" w:rsidRPr="008C3F94" w:rsidRDefault="00477AF7" w:rsidP="00477AF7">
      <w:pPr>
        <w:jc w:val="center"/>
        <w:rPr>
          <w:rFonts w:eastAsia="MS Mincho"/>
          <w:b/>
        </w:rPr>
      </w:pPr>
      <w:r>
        <w:rPr>
          <w:b/>
        </w:rPr>
        <w:t>MINISTRIA E ZHVILLIMIT EKONOMIK</w:t>
      </w:r>
    </w:p>
    <w:p w14:paraId="7F15C46A" w14:textId="77777777" w:rsidR="00477AF7" w:rsidRPr="00210FC2" w:rsidRDefault="00477AF7" w:rsidP="00477AF7">
      <w:pPr>
        <w:jc w:val="center"/>
        <w:rPr>
          <w:rFonts w:eastAsia="MS Mincho"/>
          <w:b/>
        </w:rPr>
      </w:pPr>
      <w:r>
        <w:rPr>
          <w:b/>
        </w:rPr>
        <w:t>MINISTARSTVO EKONOMSKOG RAZVOJA</w:t>
      </w:r>
    </w:p>
    <w:p w14:paraId="011D01BC" w14:textId="77777777" w:rsidR="00477AF7" w:rsidRPr="00210FC2" w:rsidRDefault="00477AF7" w:rsidP="00477AF7">
      <w:pPr>
        <w:jc w:val="center"/>
        <w:rPr>
          <w:rFonts w:eastAsia="MS Mincho"/>
          <w:b/>
        </w:rPr>
      </w:pPr>
      <w:r>
        <w:rPr>
          <w:b/>
        </w:rPr>
        <w:t>MINISTRY OF ECONOMIC DEVELOPMENT</w:t>
      </w:r>
    </w:p>
    <w:p w14:paraId="50D83A13" w14:textId="77777777" w:rsidR="00477AF7" w:rsidRPr="00210FC2" w:rsidRDefault="00477AF7" w:rsidP="00477AF7">
      <w:pPr>
        <w:spacing w:before="120"/>
        <w:jc w:val="both"/>
        <w:rPr>
          <w:rFonts w:eastAsia="MS Mincho"/>
          <w:lang w:eastAsia="el-GR"/>
        </w:rPr>
      </w:pPr>
    </w:p>
    <w:p w14:paraId="1238CE43" w14:textId="77777777" w:rsidR="00477AF7" w:rsidRPr="00210FC2" w:rsidRDefault="00477AF7" w:rsidP="00477AF7">
      <w:pPr>
        <w:spacing w:before="120"/>
        <w:jc w:val="both"/>
        <w:rPr>
          <w:rFonts w:eastAsia="MS Mincho"/>
          <w:lang w:eastAsia="el-GR"/>
        </w:rPr>
      </w:pPr>
    </w:p>
    <w:p w14:paraId="284D99BD" w14:textId="77777777" w:rsidR="00477AF7" w:rsidRPr="002D4C1B" w:rsidRDefault="00477AF7" w:rsidP="00477AF7">
      <w:pPr>
        <w:spacing w:before="120"/>
        <w:jc w:val="both"/>
        <w:rPr>
          <w:rFonts w:eastAsia="MS Mincho"/>
          <w:lang w:eastAsia="el-GR"/>
        </w:rPr>
      </w:pPr>
    </w:p>
    <w:p w14:paraId="212275FB" w14:textId="511405CE" w:rsidR="00D853ED" w:rsidRPr="002D4C1B" w:rsidRDefault="00477AF7" w:rsidP="00477AF7">
      <w:pPr>
        <w:spacing w:before="120"/>
        <w:jc w:val="center"/>
        <w:rPr>
          <w:b/>
        </w:rPr>
      </w:pPr>
      <w:r w:rsidRPr="002D4C1B">
        <w:rPr>
          <w:b/>
        </w:rPr>
        <w:t xml:space="preserve">PLANI </w:t>
      </w:r>
      <w:r w:rsidR="007C1564" w:rsidRPr="002D4C1B">
        <w:rPr>
          <w:b/>
        </w:rPr>
        <w:t>KOMBËTAR</w:t>
      </w:r>
      <w:r w:rsidRPr="002D4C1B">
        <w:rPr>
          <w:b/>
        </w:rPr>
        <w:t xml:space="preserve"> I VEPRIMIT PËR </w:t>
      </w:r>
      <w:r w:rsidR="007C1564" w:rsidRPr="002D4C1B">
        <w:rPr>
          <w:b/>
        </w:rPr>
        <w:t xml:space="preserve">BURIMET E </w:t>
      </w:r>
      <w:r w:rsidRPr="002D4C1B">
        <w:rPr>
          <w:b/>
        </w:rPr>
        <w:t xml:space="preserve"> RIPËRTËRISHME </w:t>
      </w:r>
      <w:r w:rsidR="007C1564" w:rsidRPr="002D4C1B">
        <w:rPr>
          <w:b/>
        </w:rPr>
        <w:t>TË ENERGJISË</w:t>
      </w:r>
    </w:p>
    <w:p w14:paraId="0657EF1B" w14:textId="0A1149EC" w:rsidR="00477AF7" w:rsidRPr="002D4C1B" w:rsidRDefault="00477AF7" w:rsidP="00477AF7">
      <w:pPr>
        <w:spacing w:before="120"/>
        <w:jc w:val="center"/>
        <w:rPr>
          <w:b/>
        </w:rPr>
      </w:pPr>
      <w:r w:rsidRPr="002D4C1B">
        <w:rPr>
          <w:b/>
        </w:rPr>
        <w:t>I REPUBLIKËS SË KOSOVËS 201</w:t>
      </w:r>
      <w:r w:rsidR="009F79A1">
        <w:rPr>
          <w:b/>
        </w:rPr>
        <w:t>1</w:t>
      </w:r>
      <w:bookmarkStart w:id="7" w:name="_GoBack"/>
      <w:bookmarkEnd w:id="7"/>
      <w:r w:rsidRPr="002D4C1B">
        <w:rPr>
          <w:b/>
        </w:rPr>
        <w:t>-2020</w:t>
      </w:r>
    </w:p>
    <w:p w14:paraId="767C93DB" w14:textId="77777777" w:rsidR="00477AF7" w:rsidRPr="002D4C1B" w:rsidRDefault="00477AF7" w:rsidP="00477AF7">
      <w:pPr>
        <w:spacing w:before="120"/>
        <w:jc w:val="center"/>
        <w:rPr>
          <w:b/>
        </w:rPr>
      </w:pPr>
    </w:p>
    <w:p w14:paraId="2441297A" w14:textId="1EED6941" w:rsidR="00477AF7" w:rsidRPr="002D4C1B" w:rsidRDefault="007C1564" w:rsidP="00477AF7">
      <w:pPr>
        <w:spacing w:before="120"/>
        <w:jc w:val="center"/>
        <w:rPr>
          <w:b/>
          <w:i/>
        </w:rPr>
      </w:pPr>
      <w:r w:rsidRPr="002D4C1B">
        <w:rPr>
          <w:b/>
          <w:i/>
        </w:rPr>
        <w:t>PERIUDHA</w:t>
      </w:r>
      <w:r w:rsidR="00477AF7" w:rsidRPr="002D4C1B">
        <w:rPr>
          <w:b/>
          <w:i/>
        </w:rPr>
        <w:t xml:space="preserve"> 2018-2020</w:t>
      </w:r>
    </w:p>
    <w:p w14:paraId="3C559328" w14:textId="77777777" w:rsidR="00477AF7" w:rsidRPr="002D4C1B" w:rsidRDefault="00477AF7" w:rsidP="00477AF7">
      <w:pPr>
        <w:spacing w:before="120"/>
        <w:jc w:val="center"/>
        <w:rPr>
          <w:b/>
        </w:rPr>
      </w:pPr>
    </w:p>
    <w:p w14:paraId="39FB3016" w14:textId="77777777" w:rsidR="00477AF7" w:rsidRDefault="00477AF7" w:rsidP="00477AF7">
      <w:pPr>
        <w:spacing w:before="120"/>
        <w:jc w:val="center"/>
        <w:rPr>
          <w:b/>
        </w:rPr>
      </w:pPr>
    </w:p>
    <w:p w14:paraId="74708B90" w14:textId="1D5E7D17" w:rsidR="00477AF7" w:rsidRPr="00210FC2" w:rsidRDefault="00477AF7" w:rsidP="00477AF7">
      <w:pPr>
        <w:spacing w:before="120"/>
        <w:jc w:val="center"/>
        <w:rPr>
          <w:rFonts w:eastAsia="MS Mincho"/>
          <w:b/>
        </w:rPr>
      </w:pPr>
      <w:r>
        <w:rPr>
          <w:b/>
        </w:rPr>
        <w:t xml:space="preserve">Final </w:t>
      </w:r>
    </w:p>
    <w:p w14:paraId="5014C72A" w14:textId="77777777" w:rsidR="00477AF7" w:rsidRPr="00210FC2" w:rsidRDefault="00477AF7" w:rsidP="00477AF7">
      <w:pPr>
        <w:spacing w:before="120"/>
        <w:jc w:val="both"/>
        <w:rPr>
          <w:rFonts w:eastAsia="MS Mincho"/>
          <w:lang w:eastAsia="el-GR"/>
        </w:rPr>
      </w:pPr>
    </w:p>
    <w:p w14:paraId="482984DA" w14:textId="77777777" w:rsidR="00477AF7" w:rsidRPr="00210FC2" w:rsidRDefault="00477AF7" w:rsidP="00477AF7">
      <w:pPr>
        <w:spacing w:before="120"/>
        <w:jc w:val="center"/>
        <w:rPr>
          <w:rFonts w:eastAsia="MS Mincho"/>
        </w:rPr>
      </w:pPr>
      <w:r>
        <w:t>Prishtinë</w:t>
      </w:r>
    </w:p>
    <w:p w14:paraId="7BDA7CED" w14:textId="2CBBC419" w:rsidR="00477AF7" w:rsidRPr="00210FC2" w:rsidRDefault="007C1564" w:rsidP="00477AF7">
      <w:pPr>
        <w:spacing w:before="120"/>
        <w:jc w:val="center"/>
        <w:rPr>
          <w:rFonts w:eastAsia="MS Mincho"/>
        </w:rPr>
      </w:pPr>
      <w:r>
        <w:t>KORRIK 2018</w:t>
      </w:r>
    </w:p>
    <w:p w14:paraId="07F79938" w14:textId="77777777" w:rsidR="00477AF7" w:rsidRPr="00210FC2" w:rsidRDefault="00477AF7" w:rsidP="00477AF7">
      <w:pPr>
        <w:spacing w:before="120"/>
        <w:jc w:val="both"/>
        <w:rPr>
          <w:rFonts w:eastAsia="MS Mincho"/>
          <w:b/>
          <w:lang w:eastAsia="el-GR"/>
        </w:rPr>
      </w:pPr>
    </w:p>
    <w:p w14:paraId="40BDBC68" w14:textId="77777777" w:rsidR="00477AF7" w:rsidRPr="00210FC2" w:rsidRDefault="00477AF7" w:rsidP="00477AF7">
      <w:pPr>
        <w:spacing w:before="120"/>
        <w:jc w:val="both"/>
        <w:rPr>
          <w:rFonts w:eastAsia="MS Mincho"/>
          <w:b/>
          <w:lang w:eastAsia="el-GR"/>
        </w:rPr>
      </w:pPr>
    </w:p>
    <w:p w14:paraId="49F1AB10" w14:textId="77777777" w:rsidR="00477AF7" w:rsidRPr="00210FC2" w:rsidRDefault="00477AF7" w:rsidP="00477AF7">
      <w:pPr>
        <w:spacing w:before="120"/>
        <w:jc w:val="both"/>
        <w:rPr>
          <w:rFonts w:eastAsia="MS Mincho"/>
          <w:b/>
          <w:lang w:eastAsia="el-GR"/>
        </w:rPr>
      </w:pPr>
    </w:p>
    <w:p w14:paraId="573C5103" w14:textId="77777777" w:rsidR="00477AF7" w:rsidRPr="00210FC2" w:rsidRDefault="00477AF7" w:rsidP="00477AF7">
      <w:pPr>
        <w:rPr>
          <w:lang w:eastAsia="el-GR"/>
        </w:rPr>
      </w:pPr>
    </w:p>
    <w:p w14:paraId="3FFCD5E1" w14:textId="77777777" w:rsidR="00477AF7" w:rsidRDefault="00477AF7" w:rsidP="00477AF7">
      <w:pPr>
        <w:rPr>
          <w:rFonts w:ascii="Arial" w:hAnsi="Arial" w:cs="Arial"/>
          <w:b/>
          <w:sz w:val="28"/>
          <w:szCs w:val="28"/>
        </w:rPr>
      </w:pPr>
      <w:r>
        <w:lastRenderedPageBreak/>
        <w:br w:type="page"/>
      </w:r>
    </w:p>
    <w:bookmarkEnd w:id="0" w:displacedByCustomXml="next"/>
    <w:sdt>
      <w:sdtPr>
        <w:rPr>
          <w:rFonts w:ascii="Times New Roman" w:eastAsia="Times New Roman" w:hAnsi="Times New Roman" w:cs="Times New Roman"/>
          <w:color w:val="auto"/>
          <w:sz w:val="24"/>
          <w:szCs w:val="24"/>
          <w:lang w:eastAsia="en-US"/>
        </w:rPr>
        <w:id w:val="-1848158636"/>
        <w:docPartObj>
          <w:docPartGallery w:val="Table of Contents"/>
          <w:docPartUnique/>
        </w:docPartObj>
      </w:sdtPr>
      <w:sdtEndPr>
        <w:rPr>
          <w:rFonts w:asciiTheme="minorHAnsi" w:eastAsiaTheme="minorHAnsi" w:hAnsiTheme="minorHAnsi" w:cstheme="minorBidi"/>
          <w:b/>
          <w:bCs/>
          <w:sz w:val="22"/>
          <w:szCs w:val="22"/>
        </w:rPr>
      </w:sdtEndPr>
      <w:sdtContent>
        <w:p w14:paraId="33B187F6" w14:textId="77777777" w:rsidR="00477AF7" w:rsidRDefault="00477AF7" w:rsidP="00477AF7">
          <w:pPr>
            <w:pStyle w:val="TOCHeading"/>
          </w:pPr>
          <w:r>
            <w:t>Përmbajtja</w:t>
          </w:r>
        </w:p>
        <w:p w14:paraId="3CB9A8E2" w14:textId="77777777" w:rsidR="00477AF7" w:rsidRPr="00A67C87" w:rsidRDefault="00477AF7" w:rsidP="00477AF7">
          <w:pPr>
            <w:rPr>
              <w:lang w:val="nl-NL" w:eastAsia="nl-NL"/>
            </w:rPr>
          </w:pPr>
        </w:p>
        <w:p w14:paraId="540C472B" w14:textId="7A10C19A" w:rsidR="00DC4741" w:rsidRDefault="00477AF7">
          <w:pPr>
            <w:pStyle w:val="TOC1"/>
            <w:tabs>
              <w:tab w:val="right" w:leader="dot" w:pos="9350"/>
            </w:tabs>
            <w:rPr>
              <w:rFonts w:asciiTheme="minorHAnsi" w:eastAsiaTheme="minorEastAsia" w:hAnsiTheme="minorHAnsi" w:cstheme="minorBidi"/>
              <w:noProof/>
              <w:sz w:val="22"/>
              <w:szCs w:val="22"/>
              <w:lang w:val="en-US" w:eastAsia="en-US"/>
            </w:rPr>
          </w:pPr>
          <w:r>
            <w:fldChar w:fldCharType="begin"/>
          </w:r>
          <w:r>
            <w:instrText xml:space="preserve"> TOC \o "1-3" \h \z \u </w:instrText>
          </w:r>
          <w:r>
            <w:fldChar w:fldCharType="separate"/>
          </w:r>
          <w:hyperlink w:anchor="_Toc518377677" w:history="1">
            <w:r w:rsidR="00DC4741" w:rsidRPr="002C3585">
              <w:rPr>
                <w:rStyle w:val="Hyperlink"/>
                <w:b/>
                <w:noProof/>
              </w:rPr>
              <w:t xml:space="preserve">1. PËRMBLEDHJE E POLITIKËS SHTETËRORE </w:t>
            </w:r>
            <w:r w:rsidR="007C1564">
              <w:rPr>
                <w:rStyle w:val="Hyperlink"/>
                <w:b/>
                <w:noProof/>
              </w:rPr>
              <w:t xml:space="preserve">TË ENERGJISË NGA BURIMET E </w:t>
            </w:r>
            <w:r w:rsidR="00DC4741" w:rsidRPr="002C3585">
              <w:rPr>
                <w:rStyle w:val="Hyperlink"/>
                <w:b/>
                <w:noProof/>
              </w:rPr>
              <w:t>RIPËRTËRISHME</w:t>
            </w:r>
            <w:r w:rsidR="00DC4741">
              <w:rPr>
                <w:noProof/>
                <w:webHidden/>
              </w:rPr>
              <w:tab/>
            </w:r>
            <w:r w:rsidR="00DC4741">
              <w:rPr>
                <w:noProof/>
                <w:webHidden/>
              </w:rPr>
              <w:fldChar w:fldCharType="begin"/>
            </w:r>
            <w:r w:rsidR="00DC4741">
              <w:rPr>
                <w:noProof/>
                <w:webHidden/>
              </w:rPr>
              <w:instrText xml:space="preserve"> PAGEREF _Toc518377677 \h </w:instrText>
            </w:r>
            <w:r w:rsidR="00DC4741">
              <w:rPr>
                <w:noProof/>
                <w:webHidden/>
              </w:rPr>
            </w:r>
            <w:r w:rsidR="00DC4741">
              <w:rPr>
                <w:noProof/>
                <w:webHidden/>
              </w:rPr>
              <w:fldChar w:fldCharType="separate"/>
            </w:r>
            <w:r w:rsidR="00DC4741">
              <w:rPr>
                <w:noProof/>
                <w:webHidden/>
              </w:rPr>
              <w:t>1</w:t>
            </w:r>
            <w:r w:rsidR="00DC4741">
              <w:rPr>
                <w:noProof/>
                <w:webHidden/>
              </w:rPr>
              <w:fldChar w:fldCharType="end"/>
            </w:r>
          </w:hyperlink>
        </w:p>
        <w:p w14:paraId="76131482" w14:textId="1431F365" w:rsidR="00DC4741" w:rsidRDefault="00ED61C4">
          <w:pPr>
            <w:pStyle w:val="TOC1"/>
            <w:tabs>
              <w:tab w:val="right" w:leader="dot" w:pos="9350"/>
            </w:tabs>
            <w:rPr>
              <w:rFonts w:asciiTheme="minorHAnsi" w:eastAsiaTheme="minorEastAsia" w:hAnsiTheme="minorHAnsi" w:cstheme="minorBidi"/>
              <w:noProof/>
              <w:sz w:val="22"/>
              <w:szCs w:val="22"/>
              <w:lang w:val="en-US" w:eastAsia="en-US"/>
            </w:rPr>
          </w:pPr>
          <w:hyperlink w:anchor="_Toc518377678" w:history="1">
            <w:r w:rsidR="00DC4741" w:rsidRPr="002C3585">
              <w:rPr>
                <w:rStyle w:val="Hyperlink"/>
                <w:b/>
                <w:noProof/>
              </w:rPr>
              <w:t xml:space="preserve">2. </w:t>
            </w:r>
            <w:r w:rsidR="00E537B6">
              <w:rPr>
                <w:rStyle w:val="Hyperlink"/>
                <w:b/>
                <w:noProof/>
              </w:rPr>
              <w:t xml:space="preserve">PARASHIKIMI I </w:t>
            </w:r>
            <w:r w:rsidR="00DC4741" w:rsidRPr="002C3585">
              <w:rPr>
                <w:rStyle w:val="Hyperlink"/>
                <w:b/>
                <w:noProof/>
              </w:rPr>
              <w:t>KONSUMI</w:t>
            </w:r>
            <w:r w:rsidR="00E537B6">
              <w:rPr>
                <w:rStyle w:val="Hyperlink"/>
                <w:b/>
                <w:noProof/>
              </w:rPr>
              <w:t>T FINAL TË</w:t>
            </w:r>
            <w:r w:rsidR="00DC4741" w:rsidRPr="002C3585">
              <w:rPr>
                <w:rStyle w:val="Hyperlink"/>
                <w:b/>
                <w:noProof/>
              </w:rPr>
              <w:t xml:space="preserve"> ENERGJISË 2010-2020</w:t>
            </w:r>
            <w:r w:rsidR="00DC4741">
              <w:rPr>
                <w:noProof/>
                <w:webHidden/>
              </w:rPr>
              <w:tab/>
            </w:r>
            <w:r w:rsidR="00DC4741">
              <w:rPr>
                <w:noProof/>
                <w:webHidden/>
              </w:rPr>
              <w:fldChar w:fldCharType="begin"/>
            </w:r>
            <w:r w:rsidR="00DC4741">
              <w:rPr>
                <w:noProof/>
                <w:webHidden/>
              </w:rPr>
              <w:instrText xml:space="preserve"> PAGEREF _Toc518377678 \h </w:instrText>
            </w:r>
            <w:r w:rsidR="00DC4741">
              <w:rPr>
                <w:noProof/>
                <w:webHidden/>
              </w:rPr>
            </w:r>
            <w:r w:rsidR="00DC4741">
              <w:rPr>
                <w:noProof/>
                <w:webHidden/>
              </w:rPr>
              <w:fldChar w:fldCharType="separate"/>
            </w:r>
            <w:r w:rsidR="00DC4741">
              <w:rPr>
                <w:noProof/>
                <w:webHidden/>
              </w:rPr>
              <w:t>5</w:t>
            </w:r>
            <w:r w:rsidR="00DC4741">
              <w:rPr>
                <w:noProof/>
                <w:webHidden/>
              </w:rPr>
              <w:fldChar w:fldCharType="end"/>
            </w:r>
          </w:hyperlink>
        </w:p>
        <w:p w14:paraId="5506C1E7" w14:textId="07116898" w:rsidR="00DC4741" w:rsidRDefault="00ED61C4">
          <w:pPr>
            <w:pStyle w:val="TOC1"/>
            <w:tabs>
              <w:tab w:val="right" w:leader="dot" w:pos="9350"/>
            </w:tabs>
            <w:rPr>
              <w:rFonts w:asciiTheme="minorHAnsi" w:eastAsiaTheme="minorEastAsia" w:hAnsiTheme="minorHAnsi" w:cstheme="minorBidi"/>
              <w:noProof/>
              <w:sz w:val="22"/>
              <w:szCs w:val="22"/>
              <w:lang w:val="en-US" w:eastAsia="en-US"/>
            </w:rPr>
          </w:pPr>
          <w:hyperlink w:anchor="_Toc518377679" w:history="1">
            <w:r w:rsidR="00DC4741" w:rsidRPr="002C3585">
              <w:rPr>
                <w:rStyle w:val="Hyperlink"/>
                <w:b/>
                <w:noProof/>
              </w:rPr>
              <w:t>3. CAQE</w:t>
            </w:r>
            <w:r w:rsidR="007C1564">
              <w:rPr>
                <w:rStyle w:val="Hyperlink"/>
                <w:b/>
                <w:noProof/>
              </w:rPr>
              <w:t>T DHE TRAJEKTORET E ENERGJISË NGA BURIMET E</w:t>
            </w:r>
            <w:r w:rsidR="00DC4741" w:rsidRPr="002C3585">
              <w:rPr>
                <w:rStyle w:val="Hyperlink"/>
                <w:b/>
                <w:noProof/>
              </w:rPr>
              <w:t xml:space="preserve"> RIPËRTËRISHME</w:t>
            </w:r>
            <w:r w:rsidR="00DC4741">
              <w:rPr>
                <w:noProof/>
                <w:webHidden/>
              </w:rPr>
              <w:tab/>
            </w:r>
            <w:r w:rsidR="00DC4741">
              <w:rPr>
                <w:noProof/>
                <w:webHidden/>
              </w:rPr>
              <w:fldChar w:fldCharType="begin"/>
            </w:r>
            <w:r w:rsidR="00DC4741">
              <w:rPr>
                <w:noProof/>
                <w:webHidden/>
              </w:rPr>
              <w:instrText xml:space="preserve"> PAGEREF _Toc518377679 \h </w:instrText>
            </w:r>
            <w:r w:rsidR="00DC4741">
              <w:rPr>
                <w:noProof/>
                <w:webHidden/>
              </w:rPr>
            </w:r>
            <w:r w:rsidR="00DC4741">
              <w:rPr>
                <w:noProof/>
                <w:webHidden/>
              </w:rPr>
              <w:fldChar w:fldCharType="separate"/>
            </w:r>
            <w:r w:rsidR="00DC4741">
              <w:rPr>
                <w:noProof/>
                <w:webHidden/>
              </w:rPr>
              <w:t>7</w:t>
            </w:r>
            <w:r w:rsidR="00DC4741">
              <w:rPr>
                <w:noProof/>
                <w:webHidden/>
              </w:rPr>
              <w:fldChar w:fldCharType="end"/>
            </w:r>
          </w:hyperlink>
        </w:p>
        <w:p w14:paraId="7F498C5D" w14:textId="3DB72E39" w:rsidR="00DC4741" w:rsidRDefault="00ED61C4">
          <w:pPr>
            <w:pStyle w:val="TOC2"/>
            <w:rPr>
              <w:rFonts w:asciiTheme="minorHAnsi" w:eastAsiaTheme="minorEastAsia" w:hAnsiTheme="minorHAnsi" w:cstheme="minorBidi"/>
              <w:noProof/>
              <w:sz w:val="22"/>
              <w:szCs w:val="22"/>
              <w:lang w:val="en-US" w:eastAsia="en-US"/>
            </w:rPr>
          </w:pPr>
          <w:hyperlink w:anchor="_Toc518377680" w:history="1">
            <w:r w:rsidR="00DC4741" w:rsidRPr="002C3585">
              <w:rPr>
                <w:rStyle w:val="Hyperlink"/>
                <w:noProof/>
              </w:rPr>
              <w:t>3.1. Caku i përgjithshëm shtetëror</w:t>
            </w:r>
            <w:r w:rsidR="00DC4741">
              <w:rPr>
                <w:noProof/>
                <w:webHidden/>
              </w:rPr>
              <w:tab/>
            </w:r>
            <w:r w:rsidR="00DC4741">
              <w:rPr>
                <w:noProof/>
                <w:webHidden/>
              </w:rPr>
              <w:fldChar w:fldCharType="begin"/>
            </w:r>
            <w:r w:rsidR="00DC4741">
              <w:rPr>
                <w:noProof/>
                <w:webHidden/>
              </w:rPr>
              <w:instrText xml:space="preserve"> PAGEREF _Toc518377680 \h </w:instrText>
            </w:r>
            <w:r w:rsidR="00DC4741">
              <w:rPr>
                <w:noProof/>
                <w:webHidden/>
              </w:rPr>
            </w:r>
            <w:r w:rsidR="00DC4741">
              <w:rPr>
                <w:noProof/>
                <w:webHidden/>
              </w:rPr>
              <w:fldChar w:fldCharType="separate"/>
            </w:r>
            <w:r w:rsidR="00DC4741">
              <w:rPr>
                <w:noProof/>
                <w:webHidden/>
              </w:rPr>
              <w:t>7</w:t>
            </w:r>
            <w:r w:rsidR="00DC4741">
              <w:rPr>
                <w:noProof/>
                <w:webHidden/>
              </w:rPr>
              <w:fldChar w:fldCharType="end"/>
            </w:r>
          </w:hyperlink>
        </w:p>
        <w:p w14:paraId="439AB6A2" w14:textId="0E750D33" w:rsidR="00DC4741" w:rsidRDefault="00ED61C4">
          <w:pPr>
            <w:pStyle w:val="TOC2"/>
            <w:rPr>
              <w:rFonts w:asciiTheme="minorHAnsi" w:eastAsiaTheme="minorEastAsia" w:hAnsiTheme="minorHAnsi" w:cstheme="minorBidi"/>
              <w:noProof/>
              <w:sz w:val="22"/>
              <w:szCs w:val="22"/>
              <w:lang w:val="en-US" w:eastAsia="en-US"/>
            </w:rPr>
          </w:pPr>
          <w:hyperlink w:anchor="_Toc518377681" w:history="1">
            <w:r w:rsidR="00DC4741" w:rsidRPr="002C3585">
              <w:rPr>
                <w:rStyle w:val="Hyperlink"/>
                <w:noProof/>
              </w:rPr>
              <w:t>3.2. Caqet dhe trajektoret sektoriale</w:t>
            </w:r>
            <w:r w:rsidR="00DC4741">
              <w:rPr>
                <w:noProof/>
                <w:webHidden/>
              </w:rPr>
              <w:tab/>
            </w:r>
            <w:r w:rsidR="00DC4741">
              <w:rPr>
                <w:noProof/>
                <w:webHidden/>
              </w:rPr>
              <w:fldChar w:fldCharType="begin"/>
            </w:r>
            <w:r w:rsidR="00DC4741">
              <w:rPr>
                <w:noProof/>
                <w:webHidden/>
              </w:rPr>
              <w:instrText xml:space="preserve"> PAGEREF _Toc518377681 \h </w:instrText>
            </w:r>
            <w:r w:rsidR="00DC4741">
              <w:rPr>
                <w:noProof/>
                <w:webHidden/>
              </w:rPr>
            </w:r>
            <w:r w:rsidR="00DC4741">
              <w:rPr>
                <w:noProof/>
                <w:webHidden/>
              </w:rPr>
              <w:fldChar w:fldCharType="separate"/>
            </w:r>
            <w:r w:rsidR="00DC4741">
              <w:rPr>
                <w:noProof/>
                <w:webHidden/>
              </w:rPr>
              <w:t>7</w:t>
            </w:r>
            <w:r w:rsidR="00DC4741">
              <w:rPr>
                <w:noProof/>
                <w:webHidden/>
              </w:rPr>
              <w:fldChar w:fldCharType="end"/>
            </w:r>
          </w:hyperlink>
        </w:p>
        <w:p w14:paraId="215D3F98" w14:textId="7F5BABF3" w:rsidR="00DC4741" w:rsidRDefault="00ED61C4">
          <w:pPr>
            <w:pStyle w:val="TOC1"/>
            <w:tabs>
              <w:tab w:val="right" w:leader="dot" w:pos="9350"/>
            </w:tabs>
            <w:rPr>
              <w:rFonts w:asciiTheme="minorHAnsi" w:eastAsiaTheme="minorEastAsia" w:hAnsiTheme="minorHAnsi" w:cstheme="minorBidi"/>
              <w:noProof/>
              <w:sz w:val="22"/>
              <w:szCs w:val="22"/>
              <w:lang w:val="en-US" w:eastAsia="en-US"/>
            </w:rPr>
          </w:pPr>
          <w:hyperlink w:anchor="_Toc518377682" w:history="1">
            <w:r w:rsidR="00DC4741" w:rsidRPr="002C3585">
              <w:rPr>
                <w:rStyle w:val="Hyperlink"/>
                <w:b/>
                <w:noProof/>
              </w:rPr>
              <w:t>4. MASAT PËR ARRITJEN E CAQEVE</w:t>
            </w:r>
            <w:r w:rsidR="00DC4741">
              <w:rPr>
                <w:noProof/>
                <w:webHidden/>
              </w:rPr>
              <w:tab/>
            </w:r>
            <w:r w:rsidR="00DC4741">
              <w:rPr>
                <w:noProof/>
                <w:webHidden/>
              </w:rPr>
              <w:fldChar w:fldCharType="begin"/>
            </w:r>
            <w:r w:rsidR="00DC4741">
              <w:rPr>
                <w:noProof/>
                <w:webHidden/>
              </w:rPr>
              <w:instrText xml:space="preserve"> PAGEREF _Toc518377682 \h </w:instrText>
            </w:r>
            <w:r w:rsidR="00DC4741">
              <w:rPr>
                <w:noProof/>
                <w:webHidden/>
              </w:rPr>
            </w:r>
            <w:r w:rsidR="00DC4741">
              <w:rPr>
                <w:noProof/>
                <w:webHidden/>
              </w:rPr>
              <w:fldChar w:fldCharType="separate"/>
            </w:r>
            <w:r w:rsidR="00DC4741">
              <w:rPr>
                <w:noProof/>
                <w:webHidden/>
              </w:rPr>
              <w:t>12</w:t>
            </w:r>
            <w:r w:rsidR="00DC4741">
              <w:rPr>
                <w:noProof/>
                <w:webHidden/>
              </w:rPr>
              <w:fldChar w:fldCharType="end"/>
            </w:r>
          </w:hyperlink>
        </w:p>
        <w:p w14:paraId="115D5C6D" w14:textId="07A2B700" w:rsidR="00DC4741" w:rsidRDefault="00ED61C4">
          <w:pPr>
            <w:pStyle w:val="TOC2"/>
            <w:rPr>
              <w:rFonts w:asciiTheme="minorHAnsi" w:eastAsiaTheme="minorEastAsia" w:hAnsiTheme="minorHAnsi" w:cstheme="minorBidi"/>
              <w:noProof/>
              <w:sz w:val="22"/>
              <w:szCs w:val="22"/>
              <w:lang w:val="en-US" w:eastAsia="en-US"/>
            </w:rPr>
          </w:pPr>
          <w:hyperlink w:anchor="_Toc518377683" w:history="1">
            <w:r w:rsidR="00DC4741" w:rsidRPr="002C3585">
              <w:rPr>
                <w:rStyle w:val="Hyperlink"/>
                <w:noProof/>
              </w:rPr>
              <w:t>4.1. Pasqyrë e të gjitha politikave dhe masave për promovimin e shfrytëzimit të energjisë nga burimet e ripërtërishme</w:t>
            </w:r>
            <w:r w:rsidR="00DC4741">
              <w:rPr>
                <w:noProof/>
                <w:webHidden/>
              </w:rPr>
              <w:tab/>
            </w:r>
            <w:r w:rsidR="00DC4741">
              <w:rPr>
                <w:noProof/>
                <w:webHidden/>
              </w:rPr>
              <w:fldChar w:fldCharType="begin"/>
            </w:r>
            <w:r w:rsidR="00DC4741">
              <w:rPr>
                <w:noProof/>
                <w:webHidden/>
              </w:rPr>
              <w:instrText xml:space="preserve"> PAGEREF _Toc518377683 \h </w:instrText>
            </w:r>
            <w:r w:rsidR="00DC4741">
              <w:rPr>
                <w:noProof/>
                <w:webHidden/>
              </w:rPr>
            </w:r>
            <w:r w:rsidR="00DC4741">
              <w:rPr>
                <w:noProof/>
                <w:webHidden/>
              </w:rPr>
              <w:fldChar w:fldCharType="separate"/>
            </w:r>
            <w:r w:rsidR="00DC4741">
              <w:rPr>
                <w:noProof/>
                <w:webHidden/>
              </w:rPr>
              <w:t>12</w:t>
            </w:r>
            <w:r w:rsidR="00DC4741">
              <w:rPr>
                <w:noProof/>
                <w:webHidden/>
              </w:rPr>
              <w:fldChar w:fldCharType="end"/>
            </w:r>
          </w:hyperlink>
        </w:p>
        <w:p w14:paraId="45AF6989" w14:textId="1B629CC8" w:rsidR="00DC4741" w:rsidRDefault="00ED61C4">
          <w:pPr>
            <w:pStyle w:val="TOC2"/>
            <w:rPr>
              <w:rFonts w:asciiTheme="minorHAnsi" w:eastAsiaTheme="minorEastAsia" w:hAnsiTheme="minorHAnsi" w:cstheme="minorBidi"/>
              <w:noProof/>
              <w:sz w:val="22"/>
              <w:szCs w:val="22"/>
              <w:lang w:val="en-US" w:eastAsia="en-US"/>
            </w:rPr>
          </w:pPr>
          <w:hyperlink w:anchor="_Toc518377684" w:history="1">
            <w:r w:rsidR="00DC4741" w:rsidRPr="002C3585">
              <w:rPr>
                <w:rStyle w:val="Hyperlink"/>
                <w:noProof/>
              </w:rPr>
              <w:t>4.2. Masat specifike për përmbushjen e kërkesave sipas neneve 13, 14, 16 si dhe neneve 17 deri në 21 të Direktivës 2009/28/</w:t>
            </w:r>
            <w:r w:rsidR="004547BD" w:rsidRPr="004547BD">
              <w:rPr>
                <w:rStyle w:val="Hyperlink"/>
                <w:noProof/>
                <w:color w:val="auto"/>
              </w:rPr>
              <w:t>KE</w:t>
            </w:r>
            <w:r w:rsidR="00DC4741">
              <w:rPr>
                <w:noProof/>
                <w:webHidden/>
              </w:rPr>
              <w:tab/>
            </w:r>
            <w:r w:rsidR="00DC4741">
              <w:rPr>
                <w:noProof/>
                <w:webHidden/>
              </w:rPr>
              <w:fldChar w:fldCharType="begin"/>
            </w:r>
            <w:r w:rsidR="00DC4741">
              <w:rPr>
                <w:noProof/>
                <w:webHidden/>
              </w:rPr>
              <w:instrText xml:space="preserve"> PAGEREF _Toc518377684 \h </w:instrText>
            </w:r>
            <w:r w:rsidR="00DC4741">
              <w:rPr>
                <w:noProof/>
                <w:webHidden/>
              </w:rPr>
            </w:r>
            <w:r w:rsidR="00DC4741">
              <w:rPr>
                <w:noProof/>
                <w:webHidden/>
              </w:rPr>
              <w:fldChar w:fldCharType="separate"/>
            </w:r>
            <w:r w:rsidR="00DC4741">
              <w:rPr>
                <w:noProof/>
                <w:webHidden/>
              </w:rPr>
              <w:t>17</w:t>
            </w:r>
            <w:r w:rsidR="00DC4741">
              <w:rPr>
                <w:noProof/>
                <w:webHidden/>
              </w:rPr>
              <w:fldChar w:fldCharType="end"/>
            </w:r>
          </w:hyperlink>
        </w:p>
        <w:p w14:paraId="75707F7D" w14:textId="565984BA" w:rsidR="00DC4741" w:rsidRDefault="00ED61C4">
          <w:pPr>
            <w:pStyle w:val="TOC2"/>
            <w:rPr>
              <w:rFonts w:asciiTheme="minorHAnsi" w:eastAsiaTheme="minorEastAsia" w:hAnsiTheme="minorHAnsi" w:cstheme="minorBidi"/>
              <w:noProof/>
              <w:sz w:val="22"/>
              <w:szCs w:val="22"/>
              <w:lang w:val="en-US" w:eastAsia="en-US"/>
            </w:rPr>
          </w:pPr>
          <w:hyperlink w:anchor="_Toc518377685" w:history="1">
            <w:r w:rsidR="00DC4741" w:rsidRPr="002C3585">
              <w:rPr>
                <w:rStyle w:val="Hyperlink"/>
                <w:noProof/>
              </w:rPr>
              <w:t>4.3. Skemat mbështetëse të aplikuara në Kosovë për promovimin e shfrytëzimit të energjisë nga burimet e ripërtërishme në energjinë elektrike</w:t>
            </w:r>
            <w:r w:rsidR="00DC4741">
              <w:rPr>
                <w:noProof/>
                <w:webHidden/>
              </w:rPr>
              <w:tab/>
            </w:r>
            <w:r w:rsidR="00DC4741">
              <w:rPr>
                <w:noProof/>
                <w:webHidden/>
              </w:rPr>
              <w:fldChar w:fldCharType="begin"/>
            </w:r>
            <w:r w:rsidR="00DC4741">
              <w:rPr>
                <w:noProof/>
                <w:webHidden/>
              </w:rPr>
              <w:instrText xml:space="preserve"> PAGEREF _Toc518377685 \h </w:instrText>
            </w:r>
            <w:r w:rsidR="00DC4741">
              <w:rPr>
                <w:noProof/>
                <w:webHidden/>
              </w:rPr>
            </w:r>
            <w:r w:rsidR="00DC4741">
              <w:rPr>
                <w:noProof/>
                <w:webHidden/>
              </w:rPr>
              <w:fldChar w:fldCharType="separate"/>
            </w:r>
            <w:r w:rsidR="00DC4741">
              <w:rPr>
                <w:noProof/>
                <w:webHidden/>
              </w:rPr>
              <w:t>33</w:t>
            </w:r>
            <w:r w:rsidR="00DC4741">
              <w:rPr>
                <w:noProof/>
                <w:webHidden/>
              </w:rPr>
              <w:fldChar w:fldCharType="end"/>
            </w:r>
          </w:hyperlink>
        </w:p>
        <w:p w14:paraId="77D7CCA0" w14:textId="0484722E" w:rsidR="00DC4741" w:rsidRDefault="00ED61C4">
          <w:pPr>
            <w:pStyle w:val="TOC2"/>
            <w:rPr>
              <w:rFonts w:asciiTheme="minorHAnsi" w:eastAsiaTheme="minorEastAsia" w:hAnsiTheme="minorHAnsi" w:cstheme="minorBidi"/>
              <w:noProof/>
              <w:sz w:val="22"/>
              <w:szCs w:val="22"/>
              <w:lang w:val="en-US" w:eastAsia="en-US"/>
            </w:rPr>
          </w:pPr>
          <w:hyperlink w:anchor="_Toc518377686" w:history="1">
            <w:r w:rsidR="00DC4741" w:rsidRPr="002C3585">
              <w:rPr>
                <w:rStyle w:val="Hyperlink"/>
                <w:noProof/>
              </w:rPr>
              <w:t>4.4. Skemat mbështetëse të aplikuara në Kosovë për promovimin e shfrytëzimit të energjisë nga burimet e ripërtërishme në ngrohje dhe ftohje</w:t>
            </w:r>
            <w:r w:rsidR="00DC4741">
              <w:rPr>
                <w:noProof/>
                <w:webHidden/>
              </w:rPr>
              <w:tab/>
            </w:r>
            <w:r w:rsidR="00DC4741">
              <w:rPr>
                <w:noProof/>
                <w:webHidden/>
              </w:rPr>
              <w:fldChar w:fldCharType="begin"/>
            </w:r>
            <w:r w:rsidR="00DC4741">
              <w:rPr>
                <w:noProof/>
                <w:webHidden/>
              </w:rPr>
              <w:instrText xml:space="preserve"> PAGEREF _Toc518377686 \h </w:instrText>
            </w:r>
            <w:r w:rsidR="00DC4741">
              <w:rPr>
                <w:noProof/>
                <w:webHidden/>
              </w:rPr>
            </w:r>
            <w:r w:rsidR="00DC4741">
              <w:rPr>
                <w:noProof/>
                <w:webHidden/>
              </w:rPr>
              <w:fldChar w:fldCharType="separate"/>
            </w:r>
            <w:r w:rsidR="00DC4741">
              <w:rPr>
                <w:noProof/>
                <w:webHidden/>
              </w:rPr>
              <w:t>36</w:t>
            </w:r>
            <w:r w:rsidR="00DC4741">
              <w:rPr>
                <w:noProof/>
                <w:webHidden/>
              </w:rPr>
              <w:fldChar w:fldCharType="end"/>
            </w:r>
          </w:hyperlink>
        </w:p>
        <w:p w14:paraId="2CD21DD2" w14:textId="27D463E6" w:rsidR="00DC4741" w:rsidRDefault="00ED61C4">
          <w:pPr>
            <w:pStyle w:val="TOC2"/>
            <w:rPr>
              <w:rFonts w:asciiTheme="minorHAnsi" w:eastAsiaTheme="minorEastAsia" w:hAnsiTheme="minorHAnsi" w:cstheme="minorBidi"/>
              <w:noProof/>
              <w:sz w:val="22"/>
              <w:szCs w:val="22"/>
              <w:lang w:val="en-US" w:eastAsia="en-US"/>
            </w:rPr>
          </w:pPr>
          <w:hyperlink w:anchor="_Toc518377687" w:history="1">
            <w:r w:rsidR="00DC4741" w:rsidRPr="002C3585">
              <w:rPr>
                <w:rStyle w:val="Hyperlink"/>
                <w:noProof/>
              </w:rPr>
              <w:t>4.5. Skemat mbështetëse për promovimin e shfrytëzimit të energjisë nga burimet e ripërtërishme në transport, të aplikuara nga Shtetet Anëtare, apo një grup Shtetesh Anëtare</w:t>
            </w:r>
            <w:r w:rsidR="00DC4741">
              <w:rPr>
                <w:noProof/>
                <w:webHidden/>
              </w:rPr>
              <w:tab/>
            </w:r>
            <w:r w:rsidR="00DC4741">
              <w:rPr>
                <w:noProof/>
                <w:webHidden/>
              </w:rPr>
              <w:fldChar w:fldCharType="begin"/>
            </w:r>
            <w:r w:rsidR="00DC4741">
              <w:rPr>
                <w:noProof/>
                <w:webHidden/>
              </w:rPr>
              <w:instrText xml:space="preserve"> PAGEREF _Toc518377687 \h </w:instrText>
            </w:r>
            <w:r w:rsidR="00DC4741">
              <w:rPr>
                <w:noProof/>
                <w:webHidden/>
              </w:rPr>
            </w:r>
            <w:r w:rsidR="00DC4741">
              <w:rPr>
                <w:noProof/>
                <w:webHidden/>
              </w:rPr>
              <w:fldChar w:fldCharType="separate"/>
            </w:r>
            <w:r w:rsidR="00DC4741">
              <w:rPr>
                <w:noProof/>
                <w:webHidden/>
              </w:rPr>
              <w:t>37</w:t>
            </w:r>
            <w:r w:rsidR="00DC4741">
              <w:rPr>
                <w:noProof/>
                <w:webHidden/>
              </w:rPr>
              <w:fldChar w:fldCharType="end"/>
            </w:r>
          </w:hyperlink>
        </w:p>
        <w:p w14:paraId="13CED955" w14:textId="52F7F304" w:rsidR="00DC4741" w:rsidRDefault="00ED61C4">
          <w:pPr>
            <w:pStyle w:val="TOC2"/>
            <w:rPr>
              <w:rFonts w:asciiTheme="minorHAnsi" w:eastAsiaTheme="minorEastAsia" w:hAnsiTheme="minorHAnsi" w:cstheme="minorBidi"/>
              <w:noProof/>
              <w:sz w:val="22"/>
              <w:szCs w:val="22"/>
              <w:lang w:val="en-US" w:eastAsia="en-US"/>
            </w:rPr>
          </w:pPr>
          <w:hyperlink w:anchor="_Toc518377688" w:history="1">
            <w:r w:rsidR="00DC4741" w:rsidRPr="002C3585">
              <w:rPr>
                <w:rStyle w:val="Hyperlink"/>
                <w:noProof/>
              </w:rPr>
              <w:t>4.6. Masat specifike për promovimin e shfrytëzimit të energjisë nga biomasa</w:t>
            </w:r>
            <w:r w:rsidR="00DC4741">
              <w:rPr>
                <w:noProof/>
                <w:webHidden/>
              </w:rPr>
              <w:tab/>
            </w:r>
            <w:r w:rsidR="00DC4741">
              <w:rPr>
                <w:noProof/>
                <w:webHidden/>
              </w:rPr>
              <w:fldChar w:fldCharType="begin"/>
            </w:r>
            <w:r w:rsidR="00DC4741">
              <w:rPr>
                <w:noProof/>
                <w:webHidden/>
              </w:rPr>
              <w:instrText xml:space="preserve"> PAGEREF _Toc518377688 \h </w:instrText>
            </w:r>
            <w:r w:rsidR="00DC4741">
              <w:rPr>
                <w:noProof/>
                <w:webHidden/>
              </w:rPr>
            </w:r>
            <w:r w:rsidR="00DC4741">
              <w:rPr>
                <w:noProof/>
                <w:webHidden/>
              </w:rPr>
              <w:fldChar w:fldCharType="separate"/>
            </w:r>
            <w:r w:rsidR="00DC4741">
              <w:rPr>
                <w:noProof/>
                <w:webHidden/>
              </w:rPr>
              <w:t>38</w:t>
            </w:r>
            <w:r w:rsidR="00DC4741">
              <w:rPr>
                <w:noProof/>
                <w:webHidden/>
              </w:rPr>
              <w:fldChar w:fldCharType="end"/>
            </w:r>
          </w:hyperlink>
        </w:p>
        <w:p w14:paraId="017455C5" w14:textId="28D3A426" w:rsidR="00DC4741" w:rsidRDefault="00ED61C4">
          <w:pPr>
            <w:pStyle w:val="TOC2"/>
            <w:rPr>
              <w:rFonts w:asciiTheme="minorHAnsi" w:eastAsiaTheme="minorEastAsia" w:hAnsiTheme="minorHAnsi" w:cstheme="minorBidi"/>
              <w:noProof/>
              <w:sz w:val="22"/>
              <w:szCs w:val="22"/>
              <w:lang w:val="en-US" w:eastAsia="en-US"/>
            </w:rPr>
          </w:pPr>
          <w:hyperlink w:anchor="_Toc518377689" w:history="1">
            <w:r w:rsidR="00DC4741" w:rsidRPr="002C3585">
              <w:rPr>
                <w:rStyle w:val="Hyperlink"/>
                <w:noProof/>
              </w:rPr>
              <w:t>4.7. Shfrytëzimi i planifikuar i transferimeve statistikore ndërmjet Shteteve Anëtare dhe pjesëmarrja e planifikuar në projekte të përbashkëta me Shtetet tjera Anëtare dhe vendet e treta</w:t>
            </w:r>
            <w:r w:rsidR="00DC4741">
              <w:rPr>
                <w:noProof/>
                <w:webHidden/>
              </w:rPr>
              <w:tab/>
            </w:r>
            <w:r w:rsidR="00DC4741">
              <w:rPr>
                <w:noProof/>
                <w:webHidden/>
              </w:rPr>
              <w:fldChar w:fldCharType="begin"/>
            </w:r>
            <w:r w:rsidR="00DC4741">
              <w:rPr>
                <w:noProof/>
                <w:webHidden/>
              </w:rPr>
              <w:instrText xml:space="preserve"> PAGEREF _Toc518377689 \h </w:instrText>
            </w:r>
            <w:r w:rsidR="00DC4741">
              <w:rPr>
                <w:noProof/>
                <w:webHidden/>
              </w:rPr>
            </w:r>
            <w:r w:rsidR="00DC4741">
              <w:rPr>
                <w:noProof/>
                <w:webHidden/>
              </w:rPr>
              <w:fldChar w:fldCharType="separate"/>
            </w:r>
            <w:r w:rsidR="00DC4741">
              <w:rPr>
                <w:noProof/>
                <w:webHidden/>
              </w:rPr>
              <w:t>44</w:t>
            </w:r>
            <w:r w:rsidR="00DC4741">
              <w:rPr>
                <w:noProof/>
                <w:webHidden/>
              </w:rPr>
              <w:fldChar w:fldCharType="end"/>
            </w:r>
          </w:hyperlink>
        </w:p>
        <w:p w14:paraId="670B0968" w14:textId="28D762C4" w:rsidR="00DC4741" w:rsidRDefault="00ED61C4">
          <w:pPr>
            <w:pStyle w:val="TOC1"/>
            <w:tabs>
              <w:tab w:val="left" w:pos="660"/>
              <w:tab w:val="right" w:leader="dot" w:pos="9350"/>
            </w:tabs>
            <w:rPr>
              <w:rFonts w:asciiTheme="minorHAnsi" w:eastAsiaTheme="minorEastAsia" w:hAnsiTheme="minorHAnsi" w:cstheme="minorBidi"/>
              <w:noProof/>
              <w:sz w:val="22"/>
              <w:szCs w:val="22"/>
              <w:lang w:val="en-US" w:eastAsia="en-US"/>
            </w:rPr>
          </w:pPr>
          <w:hyperlink w:anchor="_Toc518377690" w:history="1">
            <w:r w:rsidR="00DC4741" w:rsidRPr="002C3585">
              <w:rPr>
                <w:rStyle w:val="Hyperlink"/>
                <w:b/>
                <w:noProof/>
              </w:rPr>
              <w:t xml:space="preserve">5. </w:t>
            </w:r>
            <w:r w:rsidR="00DC4741">
              <w:rPr>
                <w:rFonts w:asciiTheme="minorHAnsi" w:eastAsiaTheme="minorEastAsia" w:hAnsiTheme="minorHAnsi" w:cstheme="minorBidi"/>
                <w:noProof/>
                <w:sz w:val="22"/>
                <w:szCs w:val="22"/>
                <w:lang w:val="en-US" w:eastAsia="en-US"/>
              </w:rPr>
              <w:tab/>
            </w:r>
            <w:r w:rsidR="00DC4741" w:rsidRPr="002C3585">
              <w:rPr>
                <w:rStyle w:val="Hyperlink"/>
                <w:b/>
                <w:noProof/>
              </w:rPr>
              <w:t>VLERËSIMET</w:t>
            </w:r>
            <w:r w:rsidR="00DC4741">
              <w:rPr>
                <w:noProof/>
                <w:webHidden/>
              </w:rPr>
              <w:tab/>
            </w:r>
            <w:r w:rsidR="00DC4741">
              <w:rPr>
                <w:noProof/>
                <w:webHidden/>
              </w:rPr>
              <w:fldChar w:fldCharType="begin"/>
            </w:r>
            <w:r w:rsidR="00DC4741">
              <w:rPr>
                <w:noProof/>
                <w:webHidden/>
              </w:rPr>
              <w:instrText xml:space="preserve"> PAGEREF _Toc518377690 \h </w:instrText>
            </w:r>
            <w:r w:rsidR="00DC4741">
              <w:rPr>
                <w:noProof/>
                <w:webHidden/>
              </w:rPr>
            </w:r>
            <w:r w:rsidR="00DC4741">
              <w:rPr>
                <w:noProof/>
                <w:webHidden/>
              </w:rPr>
              <w:fldChar w:fldCharType="separate"/>
            </w:r>
            <w:r w:rsidR="00DC4741">
              <w:rPr>
                <w:noProof/>
                <w:webHidden/>
              </w:rPr>
              <w:t>46</w:t>
            </w:r>
            <w:r w:rsidR="00DC4741">
              <w:rPr>
                <w:noProof/>
                <w:webHidden/>
              </w:rPr>
              <w:fldChar w:fldCharType="end"/>
            </w:r>
          </w:hyperlink>
        </w:p>
        <w:p w14:paraId="2D74C662" w14:textId="669716FF" w:rsidR="00DC4741" w:rsidRDefault="00ED61C4">
          <w:pPr>
            <w:pStyle w:val="TOC2"/>
            <w:rPr>
              <w:rFonts w:asciiTheme="minorHAnsi" w:eastAsiaTheme="minorEastAsia" w:hAnsiTheme="minorHAnsi" w:cstheme="minorBidi"/>
              <w:noProof/>
              <w:sz w:val="22"/>
              <w:szCs w:val="22"/>
              <w:lang w:val="en-US" w:eastAsia="en-US"/>
            </w:rPr>
          </w:pPr>
          <w:hyperlink w:anchor="_Toc518377691" w:history="1">
            <w:r w:rsidR="00DC4741" w:rsidRPr="002C3585">
              <w:rPr>
                <w:rStyle w:val="Hyperlink"/>
                <w:noProof/>
              </w:rPr>
              <w:t>5.1. Kontributi total i pritur nga secila teknologji e energjisë së ripërtërishme për arritjen e caqeve obligative të vitit 2020 si dhe trajektorja indikative e përkohshme për pjesën e energjisë nga burimet e ripërtërishme në energji elektrike, ngrohje e ftohje, si dhe transport</w:t>
            </w:r>
            <w:r w:rsidR="00DC4741">
              <w:rPr>
                <w:noProof/>
                <w:webHidden/>
              </w:rPr>
              <w:tab/>
            </w:r>
            <w:r w:rsidR="00DC4741">
              <w:rPr>
                <w:noProof/>
                <w:webHidden/>
              </w:rPr>
              <w:fldChar w:fldCharType="begin"/>
            </w:r>
            <w:r w:rsidR="00DC4741">
              <w:rPr>
                <w:noProof/>
                <w:webHidden/>
              </w:rPr>
              <w:instrText xml:space="preserve"> PAGEREF _Toc518377691 \h </w:instrText>
            </w:r>
            <w:r w:rsidR="00DC4741">
              <w:rPr>
                <w:noProof/>
                <w:webHidden/>
              </w:rPr>
            </w:r>
            <w:r w:rsidR="00DC4741">
              <w:rPr>
                <w:noProof/>
                <w:webHidden/>
              </w:rPr>
              <w:fldChar w:fldCharType="separate"/>
            </w:r>
            <w:r w:rsidR="00DC4741">
              <w:rPr>
                <w:noProof/>
                <w:webHidden/>
              </w:rPr>
              <w:t>46</w:t>
            </w:r>
            <w:r w:rsidR="00DC4741">
              <w:rPr>
                <w:noProof/>
                <w:webHidden/>
              </w:rPr>
              <w:fldChar w:fldCharType="end"/>
            </w:r>
          </w:hyperlink>
        </w:p>
        <w:p w14:paraId="73EB563F" w14:textId="423B2BD0" w:rsidR="00DC4741" w:rsidRDefault="00ED61C4">
          <w:pPr>
            <w:pStyle w:val="TOC2"/>
            <w:rPr>
              <w:rFonts w:asciiTheme="minorHAnsi" w:eastAsiaTheme="minorEastAsia" w:hAnsiTheme="minorHAnsi" w:cstheme="minorBidi"/>
              <w:noProof/>
              <w:sz w:val="22"/>
              <w:szCs w:val="22"/>
              <w:lang w:val="en-US" w:eastAsia="en-US"/>
            </w:rPr>
          </w:pPr>
          <w:hyperlink w:anchor="_Toc518377692" w:history="1">
            <w:r w:rsidR="00DC4741" w:rsidRPr="002C3585">
              <w:rPr>
                <w:rStyle w:val="Hyperlink"/>
                <w:noProof/>
              </w:rPr>
              <w:t>5.2. Kontributi total i pritur nga masat e efiçiencës së energjisë dhe kursimit të energjisë për arritjen e caqeve obligative të vitit 2020 si dhe trajektorja indikative e përkohshme për pjesën e energjisë nga burimet e ripërtërishme në energji elektrike, ngrohje e ftohje, si dhe transport</w:t>
            </w:r>
            <w:r w:rsidR="00DC4741">
              <w:rPr>
                <w:noProof/>
                <w:webHidden/>
              </w:rPr>
              <w:tab/>
            </w:r>
            <w:r w:rsidR="00DC4741">
              <w:rPr>
                <w:noProof/>
                <w:webHidden/>
              </w:rPr>
              <w:fldChar w:fldCharType="begin"/>
            </w:r>
            <w:r w:rsidR="00DC4741">
              <w:rPr>
                <w:noProof/>
                <w:webHidden/>
              </w:rPr>
              <w:instrText xml:space="preserve"> PAGEREF _Toc518377692 \h </w:instrText>
            </w:r>
            <w:r w:rsidR="00DC4741">
              <w:rPr>
                <w:noProof/>
                <w:webHidden/>
              </w:rPr>
            </w:r>
            <w:r w:rsidR="00DC4741">
              <w:rPr>
                <w:noProof/>
                <w:webHidden/>
              </w:rPr>
              <w:fldChar w:fldCharType="separate"/>
            </w:r>
            <w:r w:rsidR="00DC4741">
              <w:rPr>
                <w:noProof/>
                <w:webHidden/>
              </w:rPr>
              <w:t>52</w:t>
            </w:r>
            <w:r w:rsidR="00DC4741">
              <w:rPr>
                <w:noProof/>
                <w:webHidden/>
              </w:rPr>
              <w:fldChar w:fldCharType="end"/>
            </w:r>
          </w:hyperlink>
        </w:p>
        <w:p w14:paraId="2B046EB3" w14:textId="4CF91662" w:rsidR="00477AF7" w:rsidRDefault="00477AF7" w:rsidP="00477AF7">
          <w:r>
            <w:rPr>
              <w:b/>
              <w:bCs/>
            </w:rPr>
            <w:fldChar w:fldCharType="end"/>
          </w:r>
        </w:p>
      </w:sdtContent>
    </w:sdt>
    <w:p w14:paraId="6BDCCCF4" w14:textId="77777777" w:rsidR="00A852A5" w:rsidRDefault="00A852A5">
      <w:pPr>
        <w:rPr>
          <w:rFonts w:asciiTheme="majorHAnsi" w:eastAsiaTheme="majorEastAsia" w:hAnsiTheme="majorHAnsi" w:cstheme="majorBidi"/>
          <w:color w:val="2F5496" w:themeColor="accent1" w:themeShade="BF"/>
          <w:sz w:val="32"/>
          <w:szCs w:val="32"/>
        </w:rPr>
      </w:pPr>
      <w:r>
        <w:br w:type="page"/>
      </w:r>
    </w:p>
    <w:p w14:paraId="3DF074B6" w14:textId="71B946C4" w:rsidR="00B43801" w:rsidRDefault="00B43801" w:rsidP="00B43801">
      <w:pPr>
        <w:pStyle w:val="TOCHeading"/>
      </w:pPr>
      <w:r>
        <w:t xml:space="preserve">Tabelat </w:t>
      </w:r>
    </w:p>
    <w:p w14:paraId="641780B3" w14:textId="4476FAB5" w:rsidR="00477AF7" w:rsidRDefault="00477AF7" w:rsidP="00477AF7">
      <w:pPr>
        <w:rPr>
          <w:rFonts w:ascii="Arial" w:hAnsi="Arial" w:cs="Arial"/>
          <w:b/>
        </w:rPr>
      </w:pPr>
    </w:p>
    <w:p w14:paraId="0A819FF9" w14:textId="482FC379" w:rsidR="00DC4741" w:rsidRDefault="00B43801">
      <w:pPr>
        <w:pStyle w:val="TableofFigures"/>
        <w:tabs>
          <w:tab w:val="right" w:leader="dot" w:pos="9350"/>
        </w:tabs>
        <w:rPr>
          <w:rFonts w:eastAsiaTheme="minorEastAsia"/>
          <w:noProof/>
          <w:lang w:val="en-US"/>
        </w:rPr>
      </w:pPr>
      <w:r w:rsidRPr="00964EFE">
        <w:rPr>
          <w:rFonts w:ascii="Arial" w:hAnsi="Arial" w:cs="Arial"/>
          <w:b/>
          <w:sz w:val="24"/>
          <w:szCs w:val="24"/>
        </w:rPr>
        <w:fldChar w:fldCharType="begin"/>
      </w:r>
      <w:r w:rsidRPr="00053368">
        <w:rPr>
          <w:rFonts w:ascii="Arial" w:hAnsi="Arial" w:cs="Arial"/>
          <w:b/>
          <w:sz w:val="24"/>
          <w:szCs w:val="24"/>
        </w:rPr>
        <w:instrText xml:space="preserve"> TOC \h \z \c "Table" </w:instrText>
      </w:r>
      <w:r w:rsidRPr="00964EFE">
        <w:rPr>
          <w:rFonts w:ascii="Arial" w:hAnsi="Arial" w:cs="Arial"/>
          <w:b/>
          <w:sz w:val="24"/>
          <w:szCs w:val="24"/>
        </w:rPr>
        <w:fldChar w:fldCharType="separate"/>
      </w:r>
      <w:hyperlink w:anchor="_Toc518377693" w:history="1">
        <w:r w:rsidR="00DC4741" w:rsidRPr="00FA4AC7">
          <w:rPr>
            <w:rStyle w:val="Hyperlink"/>
            <w:rFonts w:ascii="Calibri" w:hAnsi="Calibri"/>
            <w:b/>
            <w:iCs/>
            <w:noProof/>
          </w:rPr>
          <w:t xml:space="preserve">Tabela </w:t>
        </w:r>
        <w:r w:rsidR="00DC4741" w:rsidRPr="00FA4AC7">
          <w:rPr>
            <w:rStyle w:val="Hyperlink"/>
            <w:rFonts w:ascii="Calibri" w:eastAsia="Calibri" w:hAnsi="Calibri"/>
            <w:b/>
            <w:iCs/>
            <w:noProof/>
          </w:rPr>
          <w:t>1</w:t>
        </w:r>
        <w:r w:rsidR="00DC4741" w:rsidRPr="00FA4AC7">
          <w:rPr>
            <w:rStyle w:val="Hyperlink"/>
            <w:rFonts w:ascii="Calibri" w:hAnsi="Calibri"/>
            <w:b/>
            <w:iCs/>
            <w:noProof/>
          </w:rPr>
          <w:t>: Caqet e përgjithshme shtetërore për pjesën e energjisë nga BRE-të më 2020</w:t>
        </w:r>
        <w:r w:rsidR="00DC4741">
          <w:rPr>
            <w:noProof/>
            <w:webHidden/>
          </w:rPr>
          <w:tab/>
        </w:r>
        <w:r w:rsidR="00DC4741">
          <w:rPr>
            <w:noProof/>
            <w:webHidden/>
          </w:rPr>
          <w:fldChar w:fldCharType="begin"/>
        </w:r>
        <w:r w:rsidR="00DC4741">
          <w:rPr>
            <w:noProof/>
            <w:webHidden/>
          </w:rPr>
          <w:instrText xml:space="preserve"> PAGEREF _Toc518377693 \h </w:instrText>
        </w:r>
        <w:r w:rsidR="00DC4741">
          <w:rPr>
            <w:noProof/>
            <w:webHidden/>
          </w:rPr>
        </w:r>
        <w:r w:rsidR="00DC4741">
          <w:rPr>
            <w:noProof/>
            <w:webHidden/>
          </w:rPr>
          <w:fldChar w:fldCharType="separate"/>
        </w:r>
        <w:r w:rsidR="00DC4741">
          <w:rPr>
            <w:noProof/>
            <w:webHidden/>
          </w:rPr>
          <w:t>1</w:t>
        </w:r>
        <w:r w:rsidR="00DC4741">
          <w:rPr>
            <w:noProof/>
            <w:webHidden/>
          </w:rPr>
          <w:fldChar w:fldCharType="end"/>
        </w:r>
      </w:hyperlink>
    </w:p>
    <w:p w14:paraId="29E2C789" w14:textId="7FE2C5BE" w:rsidR="00DC4741" w:rsidRDefault="00ED61C4">
      <w:pPr>
        <w:pStyle w:val="TableofFigures"/>
        <w:tabs>
          <w:tab w:val="right" w:leader="dot" w:pos="9350"/>
        </w:tabs>
        <w:rPr>
          <w:rFonts w:eastAsiaTheme="minorEastAsia"/>
          <w:noProof/>
          <w:lang w:val="en-US"/>
        </w:rPr>
      </w:pPr>
      <w:hyperlink w:anchor="_Toc518377694" w:history="1">
        <w:r w:rsidR="00DC4741" w:rsidRPr="00FA4AC7">
          <w:rPr>
            <w:rStyle w:val="Hyperlink"/>
            <w:rFonts w:ascii="Calibri" w:hAnsi="Calibri"/>
            <w:b/>
            <w:iCs/>
            <w:noProof/>
          </w:rPr>
          <w:t xml:space="preserve">Tabela </w:t>
        </w:r>
        <w:r w:rsidR="00DC4741" w:rsidRPr="00FA4AC7">
          <w:rPr>
            <w:rStyle w:val="Hyperlink"/>
            <w:rFonts w:ascii="Calibri" w:eastAsia="Calibri" w:hAnsi="Calibri"/>
            <w:b/>
            <w:iCs/>
            <w:noProof/>
          </w:rPr>
          <w:t>2</w:t>
        </w:r>
        <w:r w:rsidR="00DC4741" w:rsidRPr="00FA4AC7">
          <w:rPr>
            <w:rStyle w:val="Hyperlink"/>
            <w:rFonts w:ascii="Calibri" w:hAnsi="Calibri"/>
            <w:b/>
            <w:iCs/>
            <w:noProof/>
          </w:rPr>
          <w:t>: Përparimi drejt përmbushjes së caqeve për BRE</w:t>
        </w:r>
        <w:r w:rsidR="00DC4741">
          <w:rPr>
            <w:noProof/>
            <w:webHidden/>
          </w:rPr>
          <w:tab/>
        </w:r>
        <w:r w:rsidR="00DC4741">
          <w:rPr>
            <w:noProof/>
            <w:webHidden/>
          </w:rPr>
          <w:fldChar w:fldCharType="begin"/>
        </w:r>
        <w:r w:rsidR="00DC4741">
          <w:rPr>
            <w:noProof/>
            <w:webHidden/>
          </w:rPr>
          <w:instrText xml:space="preserve"> PAGEREF _Toc518377694 \h </w:instrText>
        </w:r>
        <w:r w:rsidR="00DC4741">
          <w:rPr>
            <w:noProof/>
            <w:webHidden/>
          </w:rPr>
        </w:r>
        <w:r w:rsidR="00DC4741">
          <w:rPr>
            <w:noProof/>
            <w:webHidden/>
          </w:rPr>
          <w:fldChar w:fldCharType="separate"/>
        </w:r>
        <w:r w:rsidR="00DC4741">
          <w:rPr>
            <w:noProof/>
            <w:webHidden/>
          </w:rPr>
          <w:t>3</w:t>
        </w:r>
        <w:r w:rsidR="00DC4741">
          <w:rPr>
            <w:noProof/>
            <w:webHidden/>
          </w:rPr>
          <w:fldChar w:fldCharType="end"/>
        </w:r>
      </w:hyperlink>
    </w:p>
    <w:p w14:paraId="7C0D8F75" w14:textId="64EB157E" w:rsidR="00DC4741" w:rsidRDefault="00ED61C4">
      <w:pPr>
        <w:pStyle w:val="TableofFigures"/>
        <w:tabs>
          <w:tab w:val="right" w:leader="dot" w:pos="9350"/>
        </w:tabs>
        <w:rPr>
          <w:rFonts w:eastAsiaTheme="minorEastAsia"/>
          <w:noProof/>
          <w:lang w:val="en-US"/>
        </w:rPr>
      </w:pPr>
      <w:hyperlink w:anchor="_Toc518377695" w:history="1">
        <w:r w:rsidR="00DC4741" w:rsidRPr="00FA4AC7">
          <w:rPr>
            <w:rStyle w:val="Hyperlink"/>
            <w:rFonts w:ascii="Calibri" w:hAnsi="Calibri"/>
            <w:b/>
            <w:iCs/>
            <w:noProof/>
          </w:rPr>
          <w:t xml:space="preserve">Tabela </w:t>
        </w:r>
        <w:r w:rsidR="00DC4741" w:rsidRPr="00FA4AC7">
          <w:rPr>
            <w:rStyle w:val="Hyperlink"/>
            <w:rFonts w:ascii="Calibri" w:eastAsia="Calibri" w:hAnsi="Calibri"/>
            <w:b/>
            <w:iCs/>
            <w:noProof/>
          </w:rPr>
          <w:t>3</w:t>
        </w:r>
        <w:r w:rsidR="00DC4741" w:rsidRPr="00FA4AC7">
          <w:rPr>
            <w:rStyle w:val="Hyperlink"/>
            <w:rFonts w:ascii="Calibri" w:hAnsi="Calibri"/>
            <w:b/>
            <w:iCs/>
            <w:noProof/>
          </w:rPr>
          <w:t>: Caqet e planifikuara për BRE deri më 2020.</w:t>
        </w:r>
        <w:r w:rsidR="00DC4741">
          <w:rPr>
            <w:noProof/>
            <w:webHidden/>
          </w:rPr>
          <w:tab/>
        </w:r>
        <w:r w:rsidR="00DC4741">
          <w:rPr>
            <w:noProof/>
            <w:webHidden/>
          </w:rPr>
          <w:fldChar w:fldCharType="begin"/>
        </w:r>
        <w:r w:rsidR="00DC4741">
          <w:rPr>
            <w:noProof/>
            <w:webHidden/>
          </w:rPr>
          <w:instrText xml:space="preserve"> PAGEREF _Toc518377695 \h </w:instrText>
        </w:r>
        <w:r w:rsidR="00DC4741">
          <w:rPr>
            <w:noProof/>
            <w:webHidden/>
          </w:rPr>
        </w:r>
        <w:r w:rsidR="00DC4741">
          <w:rPr>
            <w:noProof/>
            <w:webHidden/>
          </w:rPr>
          <w:fldChar w:fldCharType="separate"/>
        </w:r>
        <w:r w:rsidR="00DC4741">
          <w:rPr>
            <w:noProof/>
            <w:webHidden/>
          </w:rPr>
          <w:t>4</w:t>
        </w:r>
        <w:r w:rsidR="00DC4741">
          <w:rPr>
            <w:noProof/>
            <w:webHidden/>
          </w:rPr>
          <w:fldChar w:fldCharType="end"/>
        </w:r>
      </w:hyperlink>
    </w:p>
    <w:p w14:paraId="2F4580A7" w14:textId="20211A5C" w:rsidR="00DC4741" w:rsidRDefault="00ED61C4">
      <w:pPr>
        <w:pStyle w:val="TableofFigures"/>
        <w:tabs>
          <w:tab w:val="right" w:leader="dot" w:pos="9350"/>
        </w:tabs>
        <w:rPr>
          <w:rFonts w:eastAsiaTheme="minorEastAsia"/>
          <w:noProof/>
          <w:lang w:val="en-US"/>
        </w:rPr>
      </w:pPr>
      <w:hyperlink w:anchor="_Toc518377696" w:history="1">
        <w:r w:rsidR="00DC4741" w:rsidRPr="00FA4AC7">
          <w:rPr>
            <w:rStyle w:val="Hyperlink"/>
            <w:rFonts w:ascii="Calibri" w:hAnsi="Calibri"/>
            <w:b/>
            <w:iCs/>
            <w:noProof/>
          </w:rPr>
          <w:t xml:space="preserve">Tabela </w:t>
        </w:r>
        <w:r w:rsidR="00DC4741" w:rsidRPr="00FA4AC7">
          <w:rPr>
            <w:rStyle w:val="Hyperlink"/>
            <w:rFonts w:ascii="Calibri" w:eastAsia="Calibri" w:hAnsi="Calibri"/>
            <w:b/>
            <w:iCs/>
            <w:noProof/>
          </w:rPr>
          <w:t>4</w:t>
        </w:r>
        <w:r w:rsidR="00DC4741" w:rsidRPr="00FA4AC7">
          <w:rPr>
            <w:rStyle w:val="Hyperlink"/>
            <w:b/>
            <w:noProof/>
          </w:rPr>
          <w:t>: Konsumi i pritur bruto final i energjisë në Kosovë në ngrohje e ftohje, energji elektrike dhe transport deri më 2020, duke marrë parasysh efektet e efiçiencës së energjisë dhe masat e kursimit të energjisë (ktoe).</w:t>
        </w:r>
        <w:r w:rsidR="00DC4741">
          <w:rPr>
            <w:noProof/>
            <w:webHidden/>
          </w:rPr>
          <w:tab/>
        </w:r>
        <w:r w:rsidR="00DC4741">
          <w:rPr>
            <w:noProof/>
            <w:webHidden/>
          </w:rPr>
          <w:fldChar w:fldCharType="begin"/>
        </w:r>
        <w:r w:rsidR="00DC4741">
          <w:rPr>
            <w:noProof/>
            <w:webHidden/>
          </w:rPr>
          <w:instrText xml:space="preserve"> PAGEREF _Toc518377696 \h </w:instrText>
        </w:r>
        <w:r w:rsidR="00DC4741">
          <w:rPr>
            <w:noProof/>
            <w:webHidden/>
          </w:rPr>
        </w:r>
        <w:r w:rsidR="00DC4741">
          <w:rPr>
            <w:noProof/>
            <w:webHidden/>
          </w:rPr>
          <w:fldChar w:fldCharType="separate"/>
        </w:r>
        <w:r w:rsidR="00DC4741">
          <w:rPr>
            <w:noProof/>
            <w:webHidden/>
          </w:rPr>
          <w:t>6</w:t>
        </w:r>
        <w:r w:rsidR="00DC4741">
          <w:rPr>
            <w:noProof/>
            <w:webHidden/>
          </w:rPr>
          <w:fldChar w:fldCharType="end"/>
        </w:r>
      </w:hyperlink>
    </w:p>
    <w:p w14:paraId="186557F8" w14:textId="7CBD1C12" w:rsidR="00DC4741" w:rsidRDefault="00ED61C4">
      <w:pPr>
        <w:pStyle w:val="TableofFigures"/>
        <w:tabs>
          <w:tab w:val="right" w:leader="dot" w:pos="9350"/>
        </w:tabs>
        <w:rPr>
          <w:rFonts w:eastAsiaTheme="minorEastAsia"/>
          <w:noProof/>
          <w:lang w:val="en-US"/>
        </w:rPr>
      </w:pPr>
      <w:hyperlink w:anchor="_Toc518377697" w:history="1">
        <w:r w:rsidR="00DC4741" w:rsidRPr="00FA4AC7">
          <w:rPr>
            <w:rStyle w:val="Hyperlink"/>
            <w:rFonts w:ascii="Calibri" w:hAnsi="Calibri"/>
            <w:b/>
            <w:iCs/>
            <w:noProof/>
          </w:rPr>
          <w:t xml:space="preserve">Tabela </w:t>
        </w:r>
        <w:r w:rsidR="00DC4741" w:rsidRPr="00FA4AC7">
          <w:rPr>
            <w:rStyle w:val="Hyperlink"/>
            <w:rFonts w:ascii="Calibri" w:eastAsia="Calibri" w:hAnsi="Calibri"/>
            <w:b/>
            <w:iCs/>
            <w:noProof/>
          </w:rPr>
          <w:t>5</w:t>
        </w:r>
        <w:r w:rsidR="00DC4741" w:rsidRPr="00FA4AC7">
          <w:rPr>
            <w:rStyle w:val="Hyperlink"/>
            <w:b/>
            <w:noProof/>
          </w:rPr>
          <w:t>:</w:t>
        </w:r>
        <w:r w:rsidR="00DC4741" w:rsidRPr="00FA4AC7">
          <w:rPr>
            <w:rStyle w:val="Hyperlink"/>
            <w:rFonts w:cs="Times New Roman"/>
            <w:b/>
            <w:bCs/>
            <w:iCs/>
            <w:noProof/>
          </w:rPr>
          <w:t>Caku i përgjithshëm shtetëror për pjesën e energjisë nga burimet e ripërtërishme në konsumin final bruto të energjisë më 2009 dhe 2020.</w:t>
        </w:r>
        <w:r w:rsidR="00DC4741">
          <w:rPr>
            <w:noProof/>
            <w:webHidden/>
          </w:rPr>
          <w:tab/>
        </w:r>
        <w:r w:rsidR="00DC4741">
          <w:rPr>
            <w:noProof/>
            <w:webHidden/>
          </w:rPr>
          <w:fldChar w:fldCharType="begin"/>
        </w:r>
        <w:r w:rsidR="00DC4741">
          <w:rPr>
            <w:noProof/>
            <w:webHidden/>
          </w:rPr>
          <w:instrText xml:space="preserve"> PAGEREF _Toc518377697 \h </w:instrText>
        </w:r>
        <w:r w:rsidR="00DC4741">
          <w:rPr>
            <w:noProof/>
            <w:webHidden/>
          </w:rPr>
        </w:r>
        <w:r w:rsidR="00DC4741">
          <w:rPr>
            <w:noProof/>
            <w:webHidden/>
          </w:rPr>
          <w:fldChar w:fldCharType="separate"/>
        </w:r>
        <w:r w:rsidR="00DC4741">
          <w:rPr>
            <w:noProof/>
            <w:webHidden/>
          </w:rPr>
          <w:t>7</w:t>
        </w:r>
        <w:r w:rsidR="00DC4741">
          <w:rPr>
            <w:noProof/>
            <w:webHidden/>
          </w:rPr>
          <w:fldChar w:fldCharType="end"/>
        </w:r>
      </w:hyperlink>
    </w:p>
    <w:p w14:paraId="02EC7BA5" w14:textId="6657B61D" w:rsidR="00DC4741" w:rsidRDefault="00ED61C4">
      <w:pPr>
        <w:pStyle w:val="TableofFigures"/>
        <w:tabs>
          <w:tab w:val="right" w:leader="dot" w:pos="9350"/>
        </w:tabs>
        <w:rPr>
          <w:rFonts w:eastAsiaTheme="minorEastAsia"/>
          <w:noProof/>
          <w:lang w:val="en-US"/>
        </w:rPr>
      </w:pPr>
      <w:hyperlink w:anchor="_Toc518377698" w:history="1">
        <w:r w:rsidR="00DC4741" w:rsidRPr="00FA4AC7">
          <w:rPr>
            <w:rStyle w:val="Hyperlink"/>
            <w:rFonts w:ascii="Calibri" w:hAnsi="Calibri"/>
            <w:b/>
            <w:iCs/>
            <w:noProof/>
          </w:rPr>
          <w:t xml:space="preserve">Tabela </w:t>
        </w:r>
        <w:r w:rsidR="00DC4741" w:rsidRPr="00FA4AC7">
          <w:rPr>
            <w:rStyle w:val="Hyperlink"/>
            <w:rFonts w:ascii="Calibri" w:eastAsia="Calibri" w:hAnsi="Calibri"/>
            <w:b/>
            <w:iCs/>
            <w:noProof/>
          </w:rPr>
          <w:t>6</w:t>
        </w:r>
        <w:r w:rsidR="00DC4741" w:rsidRPr="00FA4AC7">
          <w:rPr>
            <w:rStyle w:val="Hyperlink"/>
            <w:b/>
            <w:noProof/>
          </w:rPr>
          <w:t xml:space="preserve">: </w:t>
        </w:r>
        <w:r w:rsidR="00DC4741" w:rsidRPr="00FA4AC7">
          <w:rPr>
            <w:rStyle w:val="Hyperlink"/>
            <w:b/>
            <w:bCs/>
            <w:iCs/>
            <w:noProof/>
          </w:rPr>
          <w:t>Caku shtetëror për 2020 si dhe trajektorja e projektuar e energjisë nga burimet e ripërtërishme në ngrohje e ftohje, energji elektrike dhe transport.</w:t>
        </w:r>
        <w:r w:rsidR="00DC4741">
          <w:rPr>
            <w:noProof/>
            <w:webHidden/>
          </w:rPr>
          <w:tab/>
        </w:r>
        <w:r w:rsidR="00DC4741">
          <w:rPr>
            <w:noProof/>
            <w:webHidden/>
          </w:rPr>
          <w:fldChar w:fldCharType="begin"/>
        </w:r>
        <w:r w:rsidR="00DC4741">
          <w:rPr>
            <w:noProof/>
            <w:webHidden/>
          </w:rPr>
          <w:instrText xml:space="preserve"> PAGEREF _Toc518377698 \h </w:instrText>
        </w:r>
        <w:r w:rsidR="00DC4741">
          <w:rPr>
            <w:noProof/>
            <w:webHidden/>
          </w:rPr>
        </w:r>
        <w:r w:rsidR="00DC4741">
          <w:rPr>
            <w:noProof/>
            <w:webHidden/>
          </w:rPr>
          <w:fldChar w:fldCharType="separate"/>
        </w:r>
        <w:r w:rsidR="00DC4741">
          <w:rPr>
            <w:noProof/>
            <w:webHidden/>
          </w:rPr>
          <w:t>8</w:t>
        </w:r>
        <w:r w:rsidR="00DC4741">
          <w:rPr>
            <w:noProof/>
            <w:webHidden/>
          </w:rPr>
          <w:fldChar w:fldCharType="end"/>
        </w:r>
      </w:hyperlink>
    </w:p>
    <w:p w14:paraId="45502569" w14:textId="562A4C42" w:rsidR="00DC4741" w:rsidRDefault="00ED61C4">
      <w:pPr>
        <w:pStyle w:val="TableofFigures"/>
        <w:tabs>
          <w:tab w:val="right" w:leader="dot" w:pos="9350"/>
        </w:tabs>
        <w:rPr>
          <w:rFonts w:eastAsiaTheme="minorEastAsia"/>
          <w:noProof/>
          <w:lang w:val="en-US"/>
        </w:rPr>
      </w:pPr>
      <w:hyperlink w:anchor="_Toc518377699" w:history="1">
        <w:r w:rsidR="00DC4741" w:rsidRPr="00FA4AC7">
          <w:rPr>
            <w:rStyle w:val="Hyperlink"/>
            <w:rFonts w:ascii="Calibri" w:hAnsi="Calibri"/>
            <w:b/>
            <w:iCs/>
            <w:noProof/>
          </w:rPr>
          <w:t xml:space="preserve">Tabela </w:t>
        </w:r>
        <w:r w:rsidR="00DC4741" w:rsidRPr="00FA4AC7">
          <w:rPr>
            <w:rStyle w:val="Hyperlink"/>
            <w:rFonts w:ascii="Calibri" w:eastAsia="Calibri" w:hAnsi="Calibri"/>
            <w:b/>
            <w:iCs/>
            <w:noProof/>
          </w:rPr>
          <w:t>7</w:t>
        </w:r>
        <w:r w:rsidR="00DC4741" w:rsidRPr="00FA4AC7">
          <w:rPr>
            <w:rStyle w:val="Hyperlink"/>
            <w:b/>
            <w:noProof/>
          </w:rPr>
          <w:t xml:space="preserve">: Tabela e kalkulimit për kontributin e energjisë së ripërtërishme të secilit sektor në konsumin final të energjisë. </w:t>
        </w:r>
        <w:r w:rsidR="00DC4741">
          <w:rPr>
            <w:noProof/>
            <w:webHidden/>
          </w:rPr>
          <w:tab/>
        </w:r>
        <w:r w:rsidR="00DC4741">
          <w:rPr>
            <w:noProof/>
            <w:webHidden/>
          </w:rPr>
          <w:fldChar w:fldCharType="begin"/>
        </w:r>
        <w:r w:rsidR="00DC4741">
          <w:rPr>
            <w:noProof/>
            <w:webHidden/>
          </w:rPr>
          <w:instrText xml:space="preserve"> PAGEREF _Toc518377699 \h </w:instrText>
        </w:r>
        <w:r w:rsidR="00DC4741">
          <w:rPr>
            <w:noProof/>
            <w:webHidden/>
          </w:rPr>
        </w:r>
        <w:r w:rsidR="00DC4741">
          <w:rPr>
            <w:noProof/>
            <w:webHidden/>
          </w:rPr>
          <w:fldChar w:fldCharType="separate"/>
        </w:r>
        <w:r w:rsidR="00DC4741">
          <w:rPr>
            <w:noProof/>
            <w:webHidden/>
          </w:rPr>
          <w:t>9</w:t>
        </w:r>
        <w:r w:rsidR="00DC4741">
          <w:rPr>
            <w:noProof/>
            <w:webHidden/>
          </w:rPr>
          <w:fldChar w:fldCharType="end"/>
        </w:r>
      </w:hyperlink>
    </w:p>
    <w:p w14:paraId="2EB7F707" w14:textId="6C322076" w:rsidR="00DC4741" w:rsidRDefault="00ED61C4">
      <w:pPr>
        <w:pStyle w:val="TableofFigures"/>
        <w:tabs>
          <w:tab w:val="right" w:leader="dot" w:pos="9350"/>
        </w:tabs>
        <w:rPr>
          <w:rFonts w:eastAsiaTheme="minorEastAsia"/>
          <w:noProof/>
          <w:lang w:val="en-US"/>
        </w:rPr>
      </w:pPr>
      <w:hyperlink w:anchor="_Toc518377700" w:history="1">
        <w:r w:rsidR="00DC4741" w:rsidRPr="00FA4AC7">
          <w:rPr>
            <w:rStyle w:val="Hyperlink"/>
            <w:rFonts w:ascii="Calibri" w:hAnsi="Calibri"/>
            <w:b/>
            <w:iCs/>
            <w:noProof/>
          </w:rPr>
          <w:t xml:space="preserve">Tabela </w:t>
        </w:r>
        <w:r w:rsidR="00DC4741" w:rsidRPr="00FA4AC7">
          <w:rPr>
            <w:rStyle w:val="Hyperlink"/>
            <w:rFonts w:ascii="Calibri" w:eastAsia="Calibri" w:hAnsi="Calibri"/>
            <w:b/>
            <w:iCs/>
            <w:noProof/>
          </w:rPr>
          <w:t>8</w:t>
        </w:r>
        <w:r w:rsidR="00DC4741" w:rsidRPr="00FA4AC7">
          <w:rPr>
            <w:rStyle w:val="Hyperlink"/>
            <w:b/>
            <w:noProof/>
          </w:rPr>
          <w:t>: Tabe</w:t>
        </w:r>
        <w:r w:rsidR="004547BD">
          <w:rPr>
            <w:rStyle w:val="Hyperlink"/>
            <w:b/>
            <w:noProof/>
          </w:rPr>
          <w:t xml:space="preserve">la e kalkulimit për energjinë nga burimet e </w:t>
        </w:r>
        <w:r w:rsidR="00DC4741" w:rsidRPr="00FA4AC7">
          <w:rPr>
            <w:rStyle w:val="Hyperlink"/>
            <w:b/>
            <w:noProof/>
          </w:rPr>
          <w:t>ripërtërishme në</w:t>
        </w:r>
        <w:r w:rsidR="00DC4741" w:rsidRPr="002D4C1B">
          <w:rPr>
            <w:rStyle w:val="Hyperlink"/>
            <w:b/>
            <w:noProof/>
            <w:color w:val="auto"/>
          </w:rPr>
          <w:t xml:space="preserve"> </w:t>
        </w:r>
        <w:r w:rsidR="007C1564" w:rsidRPr="002D4C1B">
          <w:rPr>
            <w:rStyle w:val="Hyperlink"/>
            <w:b/>
            <w:noProof/>
            <w:color w:val="auto"/>
          </w:rPr>
          <w:t>pjesën</w:t>
        </w:r>
        <w:r w:rsidR="00DC4741" w:rsidRPr="00FA4AC7">
          <w:rPr>
            <w:rStyle w:val="Hyperlink"/>
            <w:b/>
            <w:noProof/>
          </w:rPr>
          <w:t xml:space="preserve"> e transportit.</w:t>
        </w:r>
        <w:r w:rsidR="00DC4741">
          <w:rPr>
            <w:noProof/>
            <w:webHidden/>
          </w:rPr>
          <w:tab/>
        </w:r>
        <w:r w:rsidR="00DC4741">
          <w:rPr>
            <w:noProof/>
            <w:webHidden/>
          </w:rPr>
          <w:fldChar w:fldCharType="begin"/>
        </w:r>
        <w:r w:rsidR="00DC4741">
          <w:rPr>
            <w:noProof/>
            <w:webHidden/>
          </w:rPr>
          <w:instrText xml:space="preserve"> PAGEREF _Toc518377700 \h </w:instrText>
        </w:r>
        <w:r w:rsidR="00DC4741">
          <w:rPr>
            <w:noProof/>
            <w:webHidden/>
          </w:rPr>
        </w:r>
        <w:r w:rsidR="00DC4741">
          <w:rPr>
            <w:noProof/>
            <w:webHidden/>
          </w:rPr>
          <w:fldChar w:fldCharType="separate"/>
        </w:r>
        <w:r w:rsidR="00DC4741">
          <w:rPr>
            <w:noProof/>
            <w:webHidden/>
          </w:rPr>
          <w:t>10</w:t>
        </w:r>
        <w:r w:rsidR="00DC4741">
          <w:rPr>
            <w:noProof/>
            <w:webHidden/>
          </w:rPr>
          <w:fldChar w:fldCharType="end"/>
        </w:r>
      </w:hyperlink>
    </w:p>
    <w:p w14:paraId="628C95C4" w14:textId="3882E379" w:rsidR="00DC4741" w:rsidRDefault="00ED61C4">
      <w:pPr>
        <w:pStyle w:val="TableofFigures"/>
        <w:tabs>
          <w:tab w:val="right" w:leader="dot" w:pos="9350"/>
        </w:tabs>
        <w:rPr>
          <w:rFonts w:eastAsiaTheme="minorEastAsia"/>
          <w:noProof/>
          <w:lang w:val="en-US"/>
        </w:rPr>
      </w:pPr>
      <w:hyperlink w:anchor="_Toc518377701" w:history="1">
        <w:r w:rsidR="00DC4741" w:rsidRPr="00FA4AC7">
          <w:rPr>
            <w:rStyle w:val="Hyperlink"/>
            <w:rFonts w:ascii="Calibri" w:hAnsi="Calibri"/>
            <w:b/>
            <w:iCs/>
            <w:noProof/>
          </w:rPr>
          <w:t xml:space="preserve">Tabela </w:t>
        </w:r>
        <w:r w:rsidR="00DC4741" w:rsidRPr="00FA4AC7">
          <w:rPr>
            <w:rStyle w:val="Hyperlink"/>
            <w:rFonts w:ascii="Calibri" w:eastAsia="Calibri" w:hAnsi="Calibri"/>
            <w:b/>
            <w:iCs/>
            <w:noProof/>
          </w:rPr>
          <w:t>9</w:t>
        </w:r>
        <w:r w:rsidR="00DC4741" w:rsidRPr="00FA4AC7">
          <w:rPr>
            <w:rStyle w:val="Hyperlink"/>
            <w:b/>
            <w:noProof/>
          </w:rPr>
          <w:t>: Pasqyra e politikave dhe masave ekzistuese.</w:t>
        </w:r>
        <w:r w:rsidR="00DC4741">
          <w:rPr>
            <w:noProof/>
            <w:webHidden/>
          </w:rPr>
          <w:tab/>
        </w:r>
        <w:r w:rsidR="00DC4741">
          <w:rPr>
            <w:noProof/>
            <w:webHidden/>
          </w:rPr>
          <w:fldChar w:fldCharType="begin"/>
        </w:r>
        <w:r w:rsidR="00DC4741">
          <w:rPr>
            <w:noProof/>
            <w:webHidden/>
          </w:rPr>
          <w:instrText xml:space="preserve"> PAGEREF _Toc518377701 \h </w:instrText>
        </w:r>
        <w:r w:rsidR="00DC4741">
          <w:rPr>
            <w:noProof/>
            <w:webHidden/>
          </w:rPr>
        </w:r>
        <w:r w:rsidR="00DC4741">
          <w:rPr>
            <w:noProof/>
            <w:webHidden/>
          </w:rPr>
          <w:fldChar w:fldCharType="separate"/>
        </w:r>
        <w:r w:rsidR="00DC4741">
          <w:rPr>
            <w:noProof/>
            <w:webHidden/>
          </w:rPr>
          <w:t>12</w:t>
        </w:r>
        <w:r w:rsidR="00DC4741">
          <w:rPr>
            <w:noProof/>
            <w:webHidden/>
          </w:rPr>
          <w:fldChar w:fldCharType="end"/>
        </w:r>
      </w:hyperlink>
    </w:p>
    <w:p w14:paraId="465A7252" w14:textId="4D1C2380" w:rsidR="00DC4741" w:rsidRDefault="00ED61C4">
      <w:pPr>
        <w:pStyle w:val="TableofFigures"/>
        <w:tabs>
          <w:tab w:val="right" w:leader="dot" w:pos="9350"/>
        </w:tabs>
        <w:rPr>
          <w:rFonts w:eastAsiaTheme="minorEastAsia"/>
          <w:noProof/>
          <w:lang w:val="en-US"/>
        </w:rPr>
      </w:pPr>
      <w:hyperlink w:anchor="_Toc518377702" w:history="1">
        <w:r w:rsidR="00DC4741" w:rsidRPr="00FA4AC7">
          <w:rPr>
            <w:rStyle w:val="Hyperlink"/>
            <w:rFonts w:ascii="Calibri" w:hAnsi="Calibri"/>
            <w:b/>
            <w:iCs/>
            <w:noProof/>
          </w:rPr>
          <w:t xml:space="preserve">Tabela </w:t>
        </w:r>
        <w:r w:rsidR="00DC4741" w:rsidRPr="00FA4AC7">
          <w:rPr>
            <w:rStyle w:val="Hyperlink"/>
            <w:rFonts w:ascii="Calibri" w:eastAsia="Calibri" w:hAnsi="Calibri"/>
            <w:b/>
            <w:iCs/>
            <w:noProof/>
          </w:rPr>
          <w:t>10</w:t>
        </w:r>
        <w:r w:rsidR="00DC4741" w:rsidRPr="00FA4AC7">
          <w:rPr>
            <w:rStyle w:val="Hyperlink"/>
            <w:b/>
            <w:noProof/>
          </w:rPr>
          <w:t>: Pasqyra e politikave dhe masave ekzistuese.</w:t>
        </w:r>
        <w:r w:rsidR="00DC4741">
          <w:rPr>
            <w:noProof/>
            <w:webHidden/>
          </w:rPr>
          <w:tab/>
        </w:r>
        <w:r w:rsidR="00DC4741">
          <w:rPr>
            <w:noProof/>
            <w:webHidden/>
          </w:rPr>
          <w:fldChar w:fldCharType="begin"/>
        </w:r>
        <w:r w:rsidR="00DC4741">
          <w:rPr>
            <w:noProof/>
            <w:webHidden/>
          </w:rPr>
          <w:instrText xml:space="preserve"> PAGEREF _Toc518377702 \h </w:instrText>
        </w:r>
        <w:r w:rsidR="00DC4741">
          <w:rPr>
            <w:noProof/>
            <w:webHidden/>
          </w:rPr>
        </w:r>
        <w:r w:rsidR="00DC4741">
          <w:rPr>
            <w:noProof/>
            <w:webHidden/>
          </w:rPr>
          <w:fldChar w:fldCharType="separate"/>
        </w:r>
        <w:r w:rsidR="00DC4741">
          <w:rPr>
            <w:noProof/>
            <w:webHidden/>
          </w:rPr>
          <w:t>16</w:t>
        </w:r>
        <w:r w:rsidR="00DC4741">
          <w:rPr>
            <w:noProof/>
            <w:webHidden/>
          </w:rPr>
          <w:fldChar w:fldCharType="end"/>
        </w:r>
      </w:hyperlink>
    </w:p>
    <w:p w14:paraId="16E07FC5" w14:textId="558C757E" w:rsidR="00DC4741" w:rsidRDefault="00ED61C4">
      <w:pPr>
        <w:pStyle w:val="TableofFigures"/>
        <w:tabs>
          <w:tab w:val="right" w:leader="dot" w:pos="9350"/>
        </w:tabs>
        <w:rPr>
          <w:rFonts w:eastAsiaTheme="minorEastAsia"/>
          <w:noProof/>
          <w:lang w:val="en-US"/>
        </w:rPr>
      </w:pPr>
      <w:hyperlink w:anchor="_Toc518377703" w:history="1">
        <w:r w:rsidR="00DC4741" w:rsidRPr="00FA4AC7">
          <w:rPr>
            <w:rStyle w:val="Hyperlink"/>
            <w:rFonts w:ascii="Calibri" w:hAnsi="Calibri"/>
            <w:b/>
            <w:iCs/>
            <w:noProof/>
          </w:rPr>
          <w:t xml:space="preserve">Tabela </w:t>
        </w:r>
        <w:r w:rsidR="00DC4741" w:rsidRPr="00FA4AC7">
          <w:rPr>
            <w:rStyle w:val="Hyperlink"/>
            <w:rFonts w:ascii="Calibri" w:eastAsia="Calibri" w:hAnsi="Calibri"/>
            <w:b/>
            <w:iCs/>
            <w:noProof/>
          </w:rPr>
          <w:t>11</w:t>
        </w:r>
        <w:r w:rsidR="00DC4741" w:rsidRPr="00FA4AC7">
          <w:rPr>
            <w:rStyle w:val="Hyperlink"/>
            <w:b/>
            <w:noProof/>
          </w:rPr>
          <w:t>:</w:t>
        </w:r>
        <w:r w:rsidR="007C1564">
          <w:rPr>
            <w:rStyle w:val="Hyperlink"/>
            <w:b/>
            <w:bCs/>
            <w:noProof/>
          </w:rPr>
          <w:t xml:space="preserve"> Pjesëmarrja</w:t>
        </w:r>
        <w:r w:rsidR="004547BD">
          <w:rPr>
            <w:rStyle w:val="Hyperlink"/>
            <w:b/>
            <w:bCs/>
            <w:noProof/>
          </w:rPr>
          <w:t xml:space="preserve"> e vlerësuar e energjisë nga burimet e</w:t>
        </w:r>
        <w:r w:rsidR="00DC4741" w:rsidRPr="00FA4AC7">
          <w:rPr>
            <w:rStyle w:val="Hyperlink"/>
            <w:b/>
            <w:bCs/>
            <w:noProof/>
          </w:rPr>
          <w:t xml:space="preserve"> ripërtërishme në sektorin ndërtimor.</w:t>
        </w:r>
        <w:r w:rsidR="00DC4741">
          <w:rPr>
            <w:noProof/>
            <w:webHidden/>
          </w:rPr>
          <w:tab/>
        </w:r>
        <w:r w:rsidR="00DC4741">
          <w:rPr>
            <w:noProof/>
            <w:webHidden/>
          </w:rPr>
          <w:fldChar w:fldCharType="begin"/>
        </w:r>
        <w:r w:rsidR="00DC4741">
          <w:rPr>
            <w:noProof/>
            <w:webHidden/>
          </w:rPr>
          <w:instrText xml:space="preserve"> PAGEREF _Toc518377703 \h </w:instrText>
        </w:r>
        <w:r w:rsidR="00DC4741">
          <w:rPr>
            <w:noProof/>
            <w:webHidden/>
          </w:rPr>
        </w:r>
        <w:r w:rsidR="00DC4741">
          <w:rPr>
            <w:noProof/>
            <w:webHidden/>
          </w:rPr>
          <w:fldChar w:fldCharType="separate"/>
        </w:r>
        <w:r w:rsidR="00DC4741">
          <w:rPr>
            <w:noProof/>
            <w:webHidden/>
          </w:rPr>
          <w:t>23</w:t>
        </w:r>
        <w:r w:rsidR="00DC4741">
          <w:rPr>
            <w:noProof/>
            <w:webHidden/>
          </w:rPr>
          <w:fldChar w:fldCharType="end"/>
        </w:r>
      </w:hyperlink>
    </w:p>
    <w:p w14:paraId="3D926316" w14:textId="52401356" w:rsidR="00DC4741" w:rsidRDefault="00ED61C4">
      <w:pPr>
        <w:pStyle w:val="TableofFigures"/>
        <w:tabs>
          <w:tab w:val="right" w:leader="dot" w:pos="9350"/>
        </w:tabs>
        <w:rPr>
          <w:rFonts w:eastAsiaTheme="minorEastAsia"/>
          <w:noProof/>
          <w:lang w:val="en-US"/>
        </w:rPr>
      </w:pPr>
      <w:hyperlink w:anchor="_Toc518377704" w:history="1">
        <w:r w:rsidR="00DC4741" w:rsidRPr="00FA4AC7">
          <w:rPr>
            <w:rStyle w:val="Hyperlink"/>
            <w:rFonts w:ascii="Calibri" w:hAnsi="Calibri"/>
            <w:b/>
            <w:iCs/>
            <w:noProof/>
          </w:rPr>
          <w:t xml:space="preserve">Tabela </w:t>
        </w:r>
        <w:r w:rsidR="00DC4741" w:rsidRPr="00FA4AC7">
          <w:rPr>
            <w:rStyle w:val="Hyperlink"/>
            <w:rFonts w:ascii="Calibri" w:eastAsia="Calibri" w:hAnsi="Calibri"/>
            <w:b/>
            <w:iCs/>
            <w:noProof/>
          </w:rPr>
          <w:t>12</w:t>
        </w:r>
        <w:r w:rsidR="00DC4741" w:rsidRPr="00FA4AC7">
          <w:rPr>
            <w:rStyle w:val="Hyperlink"/>
            <w:b/>
            <w:noProof/>
          </w:rPr>
          <w:t>: Furnizimi i biomasës më 2009</w:t>
        </w:r>
        <w:r w:rsidR="00DC4741">
          <w:rPr>
            <w:noProof/>
            <w:webHidden/>
          </w:rPr>
          <w:tab/>
        </w:r>
        <w:r w:rsidR="00DC4741">
          <w:rPr>
            <w:noProof/>
            <w:webHidden/>
          </w:rPr>
          <w:fldChar w:fldCharType="begin"/>
        </w:r>
        <w:r w:rsidR="00DC4741">
          <w:rPr>
            <w:noProof/>
            <w:webHidden/>
          </w:rPr>
          <w:instrText xml:space="preserve"> PAGEREF _Toc518377704 \h </w:instrText>
        </w:r>
        <w:r w:rsidR="00DC4741">
          <w:rPr>
            <w:noProof/>
            <w:webHidden/>
          </w:rPr>
        </w:r>
        <w:r w:rsidR="00DC4741">
          <w:rPr>
            <w:noProof/>
            <w:webHidden/>
          </w:rPr>
          <w:fldChar w:fldCharType="separate"/>
        </w:r>
        <w:r w:rsidR="00DC4741">
          <w:rPr>
            <w:noProof/>
            <w:webHidden/>
          </w:rPr>
          <w:t>39</w:t>
        </w:r>
        <w:r w:rsidR="00DC4741">
          <w:rPr>
            <w:noProof/>
            <w:webHidden/>
          </w:rPr>
          <w:fldChar w:fldCharType="end"/>
        </w:r>
      </w:hyperlink>
    </w:p>
    <w:p w14:paraId="33F01783" w14:textId="5646AB7D" w:rsidR="00DC4741" w:rsidRDefault="00ED61C4">
      <w:pPr>
        <w:pStyle w:val="TableofFigures"/>
        <w:tabs>
          <w:tab w:val="right" w:leader="dot" w:pos="9350"/>
        </w:tabs>
        <w:rPr>
          <w:rFonts w:eastAsiaTheme="minorEastAsia"/>
          <w:noProof/>
          <w:lang w:val="en-US"/>
        </w:rPr>
      </w:pPr>
      <w:hyperlink w:anchor="_Toc518377705" w:history="1">
        <w:r w:rsidR="00DC4741" w:rsidRPr="00FA4AC7">
          <w:rPr>
            <w:rStyle w:val="Hyperlink"/>
            <w:rFonts w:ascii="Calibri" w:hAnsi="Calibri"/>
            <w:b/>
            <w:iCs/>
            <w:noProof/>
          </w:rPr>
          <w:t xml:space="preserve">Tabela </w:t>
        </w:r>
        <w:r w:rsidR="00DC4741" w:rsidRPr="00FA4AC7">
          <w:rPr>
            <w:rStyle w:val="Hyperlink"/>
            <w:rFonts w:ascii="Calibri" w:eastAsia="Calibri" w:hAnsi="Calibri"/>
            <w:b/>
            <w:iCs/>
            <w:noProof/>
          </w:rPr>
          <w:t>13</w:t>
        </w:r>
        <w:r w:rsidR="004547BD">
          <w:rPr>
            <w:rStyle w:val="Hyperlink"/>
            <w:b/>
            <w:noProof/>
          </w:rPr>
          <w:t>: F</w:t>
        </w:r>
        <w:r w:rsidR="00DC4741" w:rsidRPr="00FA4AC7">
          <w:rPr>
            <w:rStyle w:val="Hyperlink"/>
            <w:b/>
            <w:noProof/>
          </w:rPr>
          <w:t>urnizimi i vlerësuar vendor i biomasës më 2015 dhe 2020.</w:t>
        </w:r>
        <w:r w:rsidR="00DC4741">
          <w:rPr>
            <w:noProof/>
            <w:webHidden/>
          </w:rPr>
          <w:tab/>
        </w:r>
        <w:r w:rsidR="00DC4741">
          <w:rPr>
            <w:noProof/>
            <w:webHidden/>
          </w:rPr>
          <w:fldChar w:fldCharType="begin"/>
        </w:r>
        <w:r w:rsidR="00DC4741">
          <w:rPr>
            <w:noProof/>
            <w:webHidden/>
          </w:rPr>
          <w:instrText xml:space="preserve"> PAGEREF _Toc518377705 \h </w:instrText>
        </w:r>
        <w:r w:rsidR="00DC4741">
          <w:rPr>
            <w:noProof/>
            <w:webHidden/>
          </w:rPr>
        </w:r>
        <w:r w:rsidR="00DC4741">
          <w:rPr>
            <w:noProof/>
            <w:webHidden/>
          </w:rPr>
          <w:fldChar w:fldCharType="separate"/>
        </w:r>
        <w:r w:rsidR="00DC4741">
          <w:rPr>
            <w:noProof/>
            <w:webHidden/>
          </w:rPr>
          <w:t>41</w:t>
        </w:r>
        <w:r w:rsidR="00DC4741">
          <w:rPr>
            <w:noProof/>
            <w:webHidden/>
          </w:rPr>
          <w:fldChar w:fldCharType="end"/>
        </w:r>
      </w:hyperlink>
    </w:p>
    <w:p w14:paraId="1CC2D23C" w14:textId="6D70C69A" w:rsidR="00DC4741" w:rsidRDefault="00ED61C4">
      <w:pPr>
        <w:pStyle w:val="TableofFigures"/>
        <w:tabs>
          <w:tab w:val="right" w:leader="dot" w:pos="9350"/>
        </w:tabs>
        <w:rPr>
          <w:rFonts w:eastAsiaTheme="minorEastAsia"/>
          <w:noProof/>
          <w:lang w:val="en-US"/>
        </w:rPr>
      </w:pPr>
      <w:hyperlink w:anchor="_Toc518377706" w:history="1">
        <w:r w:rsidR="00DC4741" w:rsidRPr="00FA4AC7">
          <w:rPr>
            <w:rStyle w:val="Hyperlink"/>
            <w:rFonts w:ascii="Calibri" w:hAnsi="Calibri"/>
            <w:b/>
            <w:iCs/>
            <w:noProof/>
          </w:rPr>
          <w:t xml:space="preserve">Tabela </w:t>
        </w:r>
        <w:r w:rsidR="00DC4741" w:rsidRPr="00FA4AC7">
          <w:rPr>
            <w:rStyle w:val="Hyperlink"/>
            <w:rFonts w:ascii="Calibri" w:eastAsia="Calibri" w:hAnsi="Calibri"/>
            <w:b/>
            <w:iCs/>
            <w:noProof/>
          </w:rPr>
          <w:t>14</w:t>
        </w:r>
        <w:r w:rsidR="00DC4741" w:rsidRPr="00FA4AC7">
          <w:rPr>
            <w:rStyle w:val="Hyperlink"/>
            <w:b/>
            <w:noProof/>
          </w:rPr>
          <w:t>: Shfrytëzimi aktual i tokës bujqësore për prodhimin e kulturave të dedikuara për energji në vitin 2009.</w:t>
        </w:r>
        <w:r w:rsidR="00DC4741">
          <w:rPr>
            <w:noProof/>
            <w:webHidden/>
          </w:rPr>
          <w:tab/>
        </w:r>
        <w:r w:rsidR="00DC4741">
          <w:rPr>
            <w:noProof/>
            <w:webHidden/>
          </w:rPr>
          <w:fldChar w:fldCharType="begin"/>
        </w:r>
        <w:r w:rsidR="00DC4741">
          <w:rPr>
            <w:noProof/>
            <w:webHidden/>
          </w:rPr>
          <w:instrText xml:space="preserve"> PAGEREF _Toc518377706 \h </w:instrText>
        </w:r>
        <w:r w:rsidR="00DC4741">
          <w:rPr>
            <w:noProof/>
            <w:webHidden/>
          </w:rPr>
        </w:r>
        <w:r w:rsidR="00DC4741">
          <w:rPr>
            <w:noProof/>
            <w:webHidden/>
          </w:rPr>
          <w:fldChar w:fldCharType="separate"/>
        </w:r>
        <w:r w:rsidR="00DC4741">
          <w:rPr>
            <w:noProof/>
            <w:webHidden/>
          </w:rPr>
          <w:t>42</w:t>
        </w:r>
        <w:r w:rsidR="00DC4741">
          <w:rPr>
            <w:noProof/>
            <w:webHidden/>
          </w:rPr>
          <w:fldChar w:fldCharType="end"/>
        </w:r>
      </w:hyperlink>
    </w:p>
    <w:p w14:paraId="790812DF" w14:textId="24A52A35" w:rsidR="00DC4741" w:rsidRDefault="00ED61C4">
      <w:pPr>
        <w:pStyle w:val="TableofFigures"/>
        <w:tabs>
          <w:tab w:val="right" w:leader="dot" w:pos="9350"/>
        </w:tabs>
        <w:rPr>
          <w:rFonts w:eastAsiaTheme="minorEastAsia"/>
          <w:noProof/>
          <w:lang w:val="en-US"/>
        </w:rPr>
      </w:pPr>
      <w:hyperlink w:anchor="_Toc518377707" w:history="1">
        <w:r w:rsidR="00DC4741" w:rsidRPr="00FA4AC7">
          <w:rPr>
            <w:rStyle w:val="Hyperlink"/>
            <w:rFonts w:ascii="Calibri" w:hAnsi="Calibri"/>
            <w:b/>
            <w:iCs/>
            <w:noProof/>
          </w:rPr>
          <w:t xml:space="preserve">Tabela </w:t>
        </w:r>
        <w:r w:rsidR="00DC4741" w:rsidRPr="00FA4AC7">
          <w:rPr>
            <w:rStyle w:val="Hyperlink"/>
            <w:rFonts w:ascii="Calibri" w:eastAsia="Calibri" w:hAnsi="Calibri"/>
            <w:b/>
            <w:iCs/>
            <w:noProof/>
          </w:rPr>
          <w:t>15</w:t>
        </w:r>
        <w:r w:rsidR="00DC4741" w:rsidRPr="00FA4AC7">
          <w:rPr>
            <w:rStyle w:val="Hyperlink"/>
            <w:b/>
            <w:noProof/>
          </w:rPr>
          <w:t xml:space="preserve">: Prodhimi i vlerësuar i tepërt dhe/ose i mangët </w:t>
        </w:r>
        <w:r w:rsidR="004547BD">
          <w:rPr>
            <w:rStyle w:val="Hyperlink"/>
            <w:b/>
            <w:noProof/>
          </w:rPr>
          <w:t>i energjisë nga burimet e</w:t>
        </w:r>
        <w:r w:rsidR="00DC4741" w:rsidRPr="00FA4AC7">
          <w:rPr>
            <w:rStyle w:val="Hyperlink"/>
            <w:b/>
            <w:noProof/>
          </w:rPr>
          <w:t xml:space="preserve"> ripërtërishme, krahasuar me trajektoren indikative, që mund të transferohen në/nga Shtetet tjera Anëtare në Kosovë.</w:t>
        </w:r>
        <w:r w:rsidR="00DC4741">
          <w:rPr>
            <w:noProof/>
            <w:webHidden/>
          </w:rPr>
          <w:tab/>
        </w:r>
        <w:r w:rsidR="00DC4741">
          <w:rPr>
            <w:noProof/>
            <w:webHidden/>
          </w:rPr>
          <w:fldChar w:fldCharType="begin"/>
        </w:r>
        <w:r w:rsidR="00DC4741">
          <w:rPr>
            <w:noProof/>
            <w:webHidden/>
          </w:rPr>
          <w:instrText xml:space="preserve"> PAGEREF _Toc518377707 \h </w:instrText>
        </w:r>
        <w:r w:rsidR="00DC4741">
          <w:rPr>
            <w:noProof/>
            <w:webHidden/>
          </w:rPr>
        </w:r>
        <w:r w:rsidR="00DC4741">
          <w:rPr>
            <w:noProof/>
            <w:webHidden/>
          </w:rPr>
          <w:fldChar w:fldCharType="separate"/>
        </w:r>
        <w:r w:rsidR="00DC4741">
          <w:rPr>
            <w:noProof/>
            <w:webHidden/>
          </w:rPr>
          <w:t>45</w:t>
        </w:r>
        <w:r w:rsidR="00DC4741">
          <w:rPr>
            <w:noProof/>
            <w:webHidden/>
          </w:rPr>
          <w:fldChar w:fldCharType="end"/>
        </w:r>
      </w:hyperlink>
    </w:p>
    <w:p w14:paraId="45C8F55D" w14:textId="11E934FB" w:rsidR="00DC4741" w:rsidRDefault="00ED61C4">
      <w:pPr>
        <w:pStyle w:val="TableofFigures"/>
        <w:tabs>
          <w:tab w:val="right" w:leader="dot" w:pos="9350"/>
        </w:tabs>
        <w:rPr>
          <w:rFonts w:eastAsiaTheme="minorEastAsia"/>
          <w:noProof/>
          <w:lang w:val="en-US"/>
        </w:rPr>
      </w:pPr>
      <w:hyperlink w:anchor="_Toc518377708" w:history="1">
        <w:r w:rsidR="00DC4741" w:rsidRPr="00FA4AC7">
          <w:rPr>
            <w:rStyle w:val="Hyperlink"/>
            <w:rFonts w:ascii="Calibri" w:hAnsi="Calibri"/>
            <w:b/>
            <w:iCs/>
            <w:noProof/>
          </w:rPr>
          <w:t xml:space="preserve">Tabela </w:t>
        </w:r>
        <w:r w:rsidR="00DC4741" w:rsidRPr="00FA4AC7">
          <w:rPr>
            <w:rStyle w:val="Hyperlink"/>
            <w:rFonts w:ascii="Calibri" w:eastAsia="Calibri" w:hAnsi="Calibri"/>
            <w:b/>
            <w:iCs/>
            <w:noProof/>
          </w:rPr>
          <w:t>16</w:t>
        </w:r>
        <w:r w:rsidR="00DC4741" w:rsidRPr="00FA4AC7">
          <w:rPr>
            <w:rStyle w:val="Hyperlink"/>
            <w:rFonts w:ascii="Calibri" w:hAnsi="Calibri"/>
            <w:b/>
            <w:iCs/>
            <w:noProof/>
          </w:rPr>
          <w:t>: Potenciali i disponueshëm në Kosovë për se</w:t>
        </w:r>
        <w:r w:rsidR="004547BD">
          <w:rPr>
            <w:rStyle w:val="Hyperlink"/>
            <w:rFonts w:ascii="Calibri" w:hAnsi="Calibri"/>
            <w:b/>
            <w:iCs/>
            <w:noProof/>
          </w:rPr>
          <w:t>cilën teknologji të energjisë nga burimet e</w:t>
        </w:r>
        <w:r w:rsidR="00DC4741" w:rsidRPr="00FA4AC7">
          <w:rPr>
            <w:rStyle w:val="Hyperlink"/>
            <w:rFonts w:ascii="Calibri" w:hAnsi="Calibri"/>
            <w:b/>
            <w:iCs/>
            <w:noProof/>
          </w:rPr>
          <w:t xml:space="preserve"> ripërtërishme në energji elektrike, për periudhën 2009-2014.</w:t>
        </w:r>
        <w:r w:rsidR="00DC4741">
          <w:rPr>
            <w:noProof/>
            <w:webHidden/>
          </w:rPr>
          <w:tab/>
        </w:r>
        <w:r w:rsidR="00DC4741">
          <w:rPr>
            <w:noProof/>
            <w:webHidden/>
          </w:rPr>
          <w:fldChar w:fldCharType="begin"/>
        </w:r>
        <w:r w:rsidR="00DC4741">
          <w:rPr>
            <w:noProof/>
            <w:webHidden/>
          </w:rPr>
          <w:instrText xml:space="preserve"> PAGEREF _Toc518377708 \h </w:instrText>
        </w:r>
        <w:r w:rsidR="00DC4741">
          <w:rPr>
            <w:noProof/>
            <w:webHidden/>
          </w:rPr>
        </w:r>
        <w:r w:rsidR="00DC4741">
          <w:rPr>
            <w:noProof/>
            <w:webHidden/>
          </w:rPr>
          <w:fldChar w:fldCharType="separate"/>
        </w:r>
        <w:r w:rsidR="00DC4741">
          <w:rPr>
            <w:noProof/>
            <w:webHidden/>
          </w:rPr>
          <w:t>47</w:t>
        </w:r>
        <w:r w:rsidR="00DC4741">
          <w:rPr>
            <w:noProof/>
            <w:webHidden/>
          </w:rPr>
          <w:fldChar w:fldCharType="end"/>
        </w:r>
      </w:hyperlink>
    </w:p>
    <w:p w14:paraId="4979D078" w14:textId="7F40613B" w:rsidR="00DC4741" w:rsidRDefault="00ED61C4">
      <w:pPr>
        <w:pStyle w:val="TableofFigures"/>
        <w:tabs>
          <w:tab w:val="right" w:leader="dot" w:pos="9350"/>
        </w:tabs>
        <w:rPr>
          <w:rFonts w:eastAsiaTheme="minorEastAsia"/>
          <w:noProof/>
          <w:lang w:val="en-US"/>
        </w:rPr>
      </w:pPr>
      <w:hyperlink w:anchor="_Toc518377709" w:history="1">
        <w:r w:rsidR="00DC4741" w:rsidRPr="00FA4AC7">
          <w:rPr>
            <w:rStyle w:val="Hyperlink"/>
            <w:rFonts w:ascii="Calibri" w:hAnsi="Calibri"/>
            <w:b/>
            <w:iCs/>
            <w:noProof/>
          </w:rPr>
          <w:t xml:space="preserve">Tabela </w:t>
        </w:r>
        <w:r w:rsidR="00DC4741" w:rsidRPr="00FA4AC7">
          <w:rPr>
            <w:rStyle w:val="Hyperlink"/>
            <w:rFonts w:ascii="Calibri" w:eastAsia="Calibri" w:hAnsi="Calibri"/>
            <w:b/>
            <w:iCs/>
            <w:noProof/>
          </w:rPr>
          <w:t>17</w:t>
        </w:r>
        <w:r w:rsidR="00DC4741" w:rsidRPr="00FA4AC7">
          <w:rPr>
            <w:rStyle w:val="Hyperlink"/>
            <w:rFonts w:ascii="Calibri" w:hAnsi="Calibri"/>
            <w:b/>
            <w:iCs/>
            <w:noProof/>
          </w:rPr>
          <w:t>: Potenciali i disponueshëm në Kosovë për se</w:t>
        </w:r>
        <w:r w:rsidR="004547BD">
          <w:rPr>
            <w:rStyle w:val="Hyperlink"/>
            <w:rFonts w:ascii="Calibri" w:hAnsi="Calibri"/>
            <w:b/>
            <w:iCs/>
            <w:noProof/>
          </w:rPr>
          <w:t xml:space="preserve">cilën teknologji të energjisë nga burimet e </w:t>
        </w:r>
        <w:r w:rsidR="00DC4741" w:rsidRPr="00FA4AC7">
          <w:rPr>
            <w:rStyle w:val="Hyperlink"/>
            <w:rFonts w:ascii="Calibri" w:hAnsi="Calibri"/>
            <w:b/>
            <w:iCs/>
            <w:noProof/>
          </w:rPr>
          <w:t xml:space="preserve"> ripërtërishme në energji elektrike, për periudhën 2015-2020.</w:t>
        </w:r>
        <w:r w:rsidR="00DC4741">
          <w:rPr>
            <w:noProof/>
            <w:webHidden/>
          </w:rPr>
          <w:tab/>
        </w:r>
        <w:r w:rsidR="00DC4741">
          <w:rPr>
            <w:noProof/>
            <w:webHidden/>
          </w:rPr>
          <w:fldChar w:fldCharType="begin"/>
        </w:r>
        <w:r w:rsidR="00DC4741">
          <w:rPr>
            <w:noProof/>
            <w:webHidden/>
          </w:rPr>
          <w:instrText xml:space="preserve"> PAGEREF _Toc518377709 \h </w:instrText>
        </w:r>
        <w:r w:rsidR="00DC4741">
          <w:rPr>
            <w:noProof/>
            <w:webHidden/>
          </w:rPr>
        </w:r>
        <w:r w:rsidR="00DC4741">
          <w:rPr>
            <w:noProof/>
            <w:webHidden/>
          </w:rPr>
          <w:fldChar w:fldCharType="separate"/>
        </w:r>
        <w:r w:rsidR="00DC4741">
          <w:rPr>
            <w:noProof/>
            <w:webHidden/>
          </w:rPr>
          <w:t>48</w:t>
        </w:r>
        <w:r w:rsidR="00DC4741">
          <w:rPr>
            <w:noProof/>
            <w:webHidden/>
          </w:rPr>
          <w:fldChar w:fldCharType="end"/>
        </w:r>
      </w:hyperlink>
    </w:p>
    <w:p w14:paraId="613F63B5" w14:textId="7F97C96D" w:rsidR="00DC4741" w:rsidRDefault="00ED61C4">
      <w:pPr>
        <w:pStyle w:val="TableofFigures"/>
        <w:tabs>
          <w:tab w:val="right" w:leader="dot" w:pos="9350"/>
        </w:tabs>
        <w:rPr>
          <w:rFonts w:eastAsiaTheme="minorEastAsia"/>
          <w:noProof/>
          <w:lang w:val="en-US"/>
        </w:rPr>
      </w:pPr>
      <w:hyperlink w:anchor="_Toc518377710" w:history="1">
        <w:r w:rsidR="00DC4741" w:rsidRPr="00FA4AC7">
          <w:rPr>
            <w:rStyle w:val="Hyperlink"/>
            <w:rFonts w:ascii="Calibri" w:hAnsi="Calibri"/>
            <w:b/>
            <w:iCs/>
            <w:noProof/>
          </w:rPr>
          <w:t xml:space="preserve">Tabela </w:t>
        </w:r>
        <w:r w:rsidR="00DC4741" w:rsidRPr="00FA4AC7">
          <w:rPr>
            <w:rStyle w:val="Hyperlink"/>
            <w:rFonts w:ascii="Calibri" w:eastAsia="Calibri" w:hAnsi="Calibri"/>
            <w:b/>
            <w:iCs/>
            <w:noProof/>
          </w:rPr>
          <w:t>18</w:t>
        </w:r>
        <w:r w:rsidR="00DC4741" w:rsidRPr="00FA4AC7">
          <w:rPr>
            <w:rStyle w:val="Hyperlink"/>
            <w:rFonts w:ascii="Calibri" w:hAnsi="Calibri"/>
            <w:b/>
            <w:iCs/>
            <w:noProof/>
          </w:rPr>
          <w:t>: Potenciali i disponueshëm në Kosovë për se</w:t>
        </w:r>
        <w:r w:rsidR="004547BD">
          <w:rPr>
            <w:rStyle w:val="Hyperlink"/>
            <w:rFonts w:ascii="Calibri" w:hAnsi="Calibri"/>
            <w:b/>
            <w:iCs/>
            <w:noProof/>
          </w:rPr>
          <w:t xml:space="preserve">cilën teknologji të energjisë nga burimet e </w:t>
        </w:r>
        <w:r w:rsidR="00DC4741" w:rsidRPr="00FA4AC7">
          <w:rPr>
            <w:rStyle w:val="Hyperlink"/>
            <w:rFonts w:ascii="Calibri" w:hAnsi="Calibri"/>
            <w:b/>
            <w:iCs/>
            <w:noProof/>
          </w:rPr>
          <w:t xml:space="preserve"> ripërtërishme në ngrohje-ftohje, për periudhën 2009-2020 (ktoe).</w:t>
        </w:r>
        <w:r w:rsidR="00DC4741">
          <w:rPr>
            <w:noProof/>
            <w:webHidden/>
          </w:rPr>
          <w:tab/>
        </w:r>
        <w:r w:rsidR="00DC4741">
          <w:rPr>
            <w:noProof/>
            <w:webHidden/>
          </w:rPr>
          <w:fldChar w:fldCharType="begin"/>
        </w:r>
        <w:r w:rsidR="00DC4741">
          <w:rPr>
            <w:noProof/>
            <w:webHidden/>
          </w:rPr>
          <w:instrText xml:space="preserve"> PAGEREF _Toc518377710 \h </w:instrText>
        </w:r>
        <w:r w:rsidR="00DC4741">
          <w:rPr>
            <w:noProof/>
            <w:webHidden/>
          </w:rPr>
        </w:r>
        <w:r w:rsidR="00DC4741">
          <w:rPr>
            <w:noProof/>
            <w:webHidden/>
          </w:rPr>
          <w:fldChar w:fldCharType="separate"/>
        </w:r>
        <w:r w:rsidR="00DC4741">
          <w:rPr>
            <w:noProof/>
            <w:webHidden/>
          </w:rPr>
          <w:t>49</w:t>
        </w:r>
        <w:r w:rsidR="00DC4741">
          <w:rPr>
            <w:noProof/>
            <w:webHidden/>
          </w:rPr>
          <w:fldChar w:fldCharType="end"/>
        </w:r>
      </w:hyperlink>
    </w:p>
    <w:p w14:paraId="57E107F8" w14:textId="015FBA8A" w:rsidR="00DC4741" w:rsidRDefault="00ED61C4">
      <w:pPr>
        <w:pStyle w:val="TableofFigures"/>
        <w:tabs>
          <w:tab w:val="right" w:leader="dot" w:pos="9350"/>
        </w:tabs>
        <w:rPr>
          <w:rFonts w:eastAsiaTheme="minorEastAsia"/>
          <w:noProof/>
          <w:lang w:val="en-US"/>
        </w:rPr>
      </w:pPr>
      <w:hyperlink w:anchor="_Toc518377711" w:history="1">
        <w:r w:rsidR="00DC4741" w:rsidRPr="00FA4AC7">
          <w:rPr>
            <w:rStyle w:val="Hyperlink"/>
            <w:rFonts w:ascii="Calibri" w:hAnsi="Calibri"/>
            <w:b/>
            <w:iCs/>
            <w:noProof/>
          </w:rPr>
          <w:t xml:space="preserve">Tabela </w:t>
        </w:r>
        <w:r w:rsidR="00DC4741" w:rsidRPr="00FA4AC7">
          <w:rPr>
            <w:rStyle w:val="Hyperlink"/>
            <w:rFonts w:ascii="Calibri" w:eastAsia="Calibri" w:hAnsi="Calibri"/>
            <w:b/>
            <w:iCs/>
            <w:noProof/>
          </w:rPr>
          <w:t>19</w:t>
        </w:r>
        <w:r w:rsidR="00DC4741" w:rsidRPr="00FA4AC7">
          <w:rPr>
            <w:rStyle w:val="Hyperlink"/>
            <w:rFonts w:ascii="Calibri" w:hAnsi="Calibri"/>
            <w:b/>
            <w:iCs/>
            <w:noProof/>
          </w:rPr>
          <w:t>: Potenciali i disponueshëm në Kosovë për se</w:t>
        </w:r>
        <w:r w:rsidR="004547BD">
          <w:rPr>
            <w:rStyle w:val="Hyperlink"/>
            <w:rFonts w:ascii="Calibri" w:hAnsi="Calibri"/>
            <w:b/>
            <w:iCs/>
            <w:noProof/>
          </w:rPr>
          <w:t xml:space="preserve">cilën teknologji të energjisë nga burimet e </w:t>
        </w:r>
        <w:r w:rsidR="00DC4741" w:rsidRPr="00FA4AC7">
          <w:rPr>
            <w:rStyle w:val="Hyperlink"/>
            <w:rFonts w:ascii="Calibri" w:hAnsi="Calibri"/>
            <w:b/>
            <w:iCs/>
            <w:noProof/>
          </w:rPr>
          <w:t xml:space="preserve"> ripërtërishme në transport, për periudhën 2009-2020 (ktoe).</w:t>
        </w:r>
        <w:r w:rsidR="00DC4741">
          <w:rPr>
            <w:noProof/>
            <w:webHidden/>
          </w:rPr>
          <w:tab/>
        </w:r>
        <w:r w:rsidR="00DC4741">
          <w:rPr>
            <w:noProof/>
            <w:webHidden/>
          </w:rPr>
          <w:fldChar w:fldCharType="begin"/>
        </w:r>
        <w:r w:rsidR="00DC4741">
          <w:rPr>
            <w:noProof/>
            <w:webHidden/>
          </w:rPr>
          <w:instrText xml:space="preserve"> PAGEREF _Toc518377711 \h </w:instrText>
        </w:r>
        <w:r w:rsidR="00DC4741">
          <w:rPr>
            <w:noProof/>
            <w:webHidden/>
          </w:rPr>
        </w:r>
        <w:r w:rsidR="00DC4741">
          <w:rPr>
            <w:noProof/>
            <w:webHidden/>
          </w:rPr>
          <w:fldChar w:fldCharType="separate"/>
        </w:r>
        <w:r w:rsidR="00DC4741">
          <w:rPr>
            <w:noProof/>
            <w:webHidden/>
          </w:rPr>
          <w:t>50</w:t>
        </w:r>
        <w:r w:rsidR="00DC4741">
          <w:rPr>
            <w:noProof/>
            <w:webHidden/>
          </w:rPr>
          <w:fldChar w:fldCharType="end"/>
        </w:r>
      </w:hyperlink>
    </w:p>
    <w:p w14:paraId="237CC141" w14:textId="61F837CD" w:rsidR="00B43801" w:rsidRPr="00B973C7" w:rsidRDefault="00B43801" w:rsidP="00477AF7">
      <w:pPr>
        <w:rPr>
          <w:rFonts w:ascii="Arial" w:hAnsi="Arial" w:cs="Arial"/>
          <w:b/>
          <w:sz w:val="24"/>
          <w:szCs w:val="24"/>
        </w:rPr>
      </w:pPr>
      <w:r w:rsidRPr="00964EFE">
        <w:rPr>
          <w:rFonts w:ascii="Arial" w:hAnsi="Arial" w:cs="Arial"/>
          <w:b/>
          <w:sz w:val="24"/>
          <w:szCs w:val="24"/>
        </w:rPr>
        <w:fldChar w:fldCharType="end"/>
      </w:r>
    </w:p>
    <w:p w14:paraId="055D9ED6" w14:textId="56D4A878" w:rsidR="007010F2" w:rsidRDefault="007010F2" w:rsidP="007010F2">
      <w:pPr>
        <w:pStyle w:val="TOCHeading"/>
      </w:pPr>
      <w:r>
        <w:t xml:space="preserve">Figurat </w:t>
      </w:r>
    </w:p>
    <w:p w14:paraId="4259AD64" w14:textId="77777777" w:rsidR="007010F2" w:rsidRDefault="007010F2" w:rsidP="00477AF7">
      <w:pPr>
        <w:rPr>
          <w:rFonts w:ascii="Arial" w:hAnsi="Arial" w:cs="Arial"/>
          <w:b/>
        </w:rPr>
      </w:pPr>
    </w:p>
    <w:p w14:paraId="67F07DD4" w14:textId="075EDFB9" w:rsidR="00DC4741" w:rsidRDefault="00B43801">
      <w:pPr>
        <w:pStyle w:val="TableofFigures"/>
        <w:tabs>
          <w:tab w:val="right" w:leader="dot" w:pos="9350"/>
        </w:tabs>
        <w:rPr>
          <w:rFonts w:eastAsiaTheme="minorEastAsia"/>
          <w:noProof/>
          <w:lang w:val="en-US"/>
        </w:rPr>
      </w:pPr>
      <w:r w:rsidRPr="00B973C7">
        <w:rPr>
          <w:rFonts w:ascii="Arial" w:hAnsi="Arial" w:cs="Arial"/>
          <w:b/>
          <w:sz w:val="24"/>
          <w:szCs w:val="24"/>
        </w:rPr>
        <w:fldChar w:fldCharType="begin"/>
      </w:r>
      <w:r w:rsidRPr="00B973C7">
        <w:rPr>
          <w:rFonts w:ascii="Arial" w:hAnsi="Arial" w:cs="Arial"/>
          <w:b/>
          <w:sz w:val="24"/>
          <w:szCs w:val="24"/>
        </w:rPr>
        <w:instrText xml:space="preserve"> TOC \h \z \c "Figure" </w:instrText>
      </w:r>
      <w:r w:rsidRPr="00B973C7">
        <w:rPr>
          <w:rFonts w:ascii="Arial" w:hAnsi="Arial" w:cs="Arial"/>
          <w:b/>
          <w:sz w:val="24"/>
          <w:szCs w:val="24"/>
        </w:rPr>
        <w:fldChar w:fldCharType="separate"/>
      </w:r>
      <w:hyperlink w:anchor="_Toc518377712" w:history="1">
        <w:r w:rsidR="00DC4741" w:rsidRPr="001355EB">
          <w:rPr>
            <w:rStyle w:val="Hyperlink"/>
            <w:rFonts w:ascii="Calibri" w:hAnsi="Calibri"/>
            <w:b/>
            <w:iCs/>
            <w:noProof/>
          </w:rPr>
          <w:t xml:space="preserve">Figura </w:t>
        </w:r>
        <w:r w:rsidR="00DC4741" w:rsidRPr="001355EB">
          <w:rPr>
            <w:rStyle w:val="Hyperlink"/>
            <w:rFonts w:ascii="Calibri" w:eastAsia="Calibri" w:hAnsi="Calibri"/>
            <w:b/>
            <w:iCs/>
            <w:noProof/>
          </w:rPr>
          <w:t>1</w:t>
        </w:r>
        <w:r w:rsidR="00DC4741" w:rsidRPr="001355EB">
          <w:rPr>
            <w:rStyle w:val="Hyperlink"/>
            <w:rFonts w:ascii="Calibri" w:hAnsi="Calibri"/>
            <w:b/>
            <w:iCs/>
            <w:noProof/>
          </w:rPr>
          <w:t>: Përparimi drejt përmbushjes së caqeve për BRE-Total</w:t>
        </w:r>
        <w:r w:rsidR="00DC4741">
          <w:rPr>
            <w:noProof/>
            <w:webHidden/>
          </w:rPr>
          <w:tab/>
        </w:r>
        <w:r w:rsidR="00DC4741">
          <w:rPr>
            <w:noProof/>
            <w:webHidden/>
          </w:rPr>
          <w:fldChar w:fldCharType="begin"/>
        </w:r>
        <w:r w:rsidR="00DC4741">
          <w:rPr>
            <w:noProof/>
            <w:webHidden/>
          </w:rPr>
          <w:instrText xml:space="preserve"> PAGEREF _Toc518377712 \h </w:instrText>
        </w:r>
        <w:r w:rsidR="00DC4741">
          <w:rPr>
            <w:noProof/>
            <w:webHidden/>
          </w:rPr>
        </w:r>
        <w:r w:rsidR="00DC4741">
          <w:rPr>
            <w:noProof/>
            <w:webHidden/>
          </w:rPr>
          <w:fldChar w:fldCharType="separate"/>
        </w:r>
        <w:r w:rsidR="00DC4741">
          <w:rPr>
            <w:noProof/>
            <w:webHidden/>
          </w:rPr>
          <w:t>3</w:t>
        </w:r>
        <w:r w:rsidR="00DC4741">
          <w:rPr>
            <w:noProof/>
            <w:webHidden/>
          </w:rPr>
          <w:fldChar w:fldCharType="end"/>
        </w:r>
      </w:hyperlink>
    </w:p>
    <w:p w14:paraId="10181CD6" w14:textId="2EBDDD19" w:rsidR="00DC4741" w:rsidRDefault="00ED61C4">
      <w:pPr>
        <w:pStyle w:val="TableofFigures"/>
        <w:tabs>
          <w:tab w:val="right" w:leader="dot" w:pos="9350"/>
        </w:tabs>
        <w:rPr>
          <w:rFonts w:eastAsiaTheme="minorEastAsia"/>
          <w:noProof/>
          <w:lang w:val="en-US"/>
        </w:rPr>
      </w:pPr>
      <w:hyperlink w:anchor="_Toc518377713" w:history="1">
        <w:r w:rsidR="00DC4741" w:rsidRPr="001355EB">
          <w:rPr>
            <w:rStyle w:val="Hyperlink"/>
            <w:rFonts w:ascii="Calibri" w:hAnsi="Calibri"/>
            <w:b/>
            <w:iCs/>
            <w:noProof/>
          </w:rPr>
          <w:t xml:space="preserve">Figura </w:t>
        </w:r>
        <w:r w:rsidR="00DC4741" w:rsidRPr="001355EB">
          <w:rPr>
            <w:rStyle w:val="Hyperlink"/>
            <w:rFonts w:ascii="Calibri" w:eastAsia="Calibri" w:hAnsi="Calibri"/>
            <w:b/>
            <w:iCs/>
            <w:noProof/>
          </w:rPr>
          <w:t>2</w:t>
        </w:r>
        <w:r w:rsidR="00DC4741" w:rsidRPr="001355EB">
          <w:rPr>
            <w:rStyle w:val="Hyperlink"/>
            <w:rFonts w:ascii="Calibri" w:hAnsi="Calibri"/>
            <w:b/>
            <w:iCs/>
            <w:noProof/>
          </w:rPr>
          <w:t xml:space="preserve">: </w:t>
        </w:r>
        <w:r w:rsidR="00DC4741" w:rsidRPr="001355EB">
          <w:rPr>
            <w:rStyle w:val="Hyperlink"/>
            <w:b/>
            <w:noProof/>
          </w:rPr>
          <w:t>Konsumi fundor sipas sektorëve më 2015.</w:t>
        </w:r>
        <w:r w:rsidR="00DC4741">
          <w:rPr>
            <w:noProof/>
            <w:webHidden/>
          </w:rPr>
          <w:tab/>
        </w:r>
        <w:r w:rsidR="00DC4741">
          <w:rPr>
            <w:noProof/>
            <w:webHidden/>
          </w:rPr>
          <w:fldChar w:fldCharType="begin"/>
        </w:r>
        <w:r w:rsidR="00DC4741">
          <w:rPr>
            <w:noProof/>
            <w:webHidden/>
          </w:rPr>
          <w:instrText xml:space="preserve"> PAGEREF _Toc518377713 \h </w:instrText>
        </w:r>
        <w:r w:rsidR="00DC4741">
          <w:rPr>
            <w:noProof/>
            <w:webHidden/>
          </w:rPr>
        </w:r>
        <w:r w:rsidR="00DC4741">
          <w:rPr>
            <w:noProof/>
            <w:webHidden/>
          </w:rPr>
          <w:fldChar w:fldCharType="separate"/>
        </w:r>
        <w:r w:rsidR="00DC4741">
          <w:rPr>
            <w:noProof/>
            <w:webHidden/>
          </w:rPr>
          <w:t>52</w:t>
        </w:r>
        <w:r w:rsidR="00DC4741">
          <w:rPr>
            <w:noProof/>
            <w:webHidden/>
          </w:rPr>
          <w:fldChar w:fldCharType="end"/>
        </w:r>
      </w:hyperlink>
    </w:p>
    <w:p w14:paraId="28AFA03C" w14:textId="31857544" w:rsidR="006B66E4" w:rsidRDefault="00B43801" w:rsidP="00477AF7">
      <w:pPr>
        <w:rPr>
          <w:rFonts w:ascii="Arial" w:hAnsi="Arial" w:cs="Arial"/>
          <w:b/>
        </w:rPr>
        <w:sectPr w:rsidR="006B66E4" w:rsidSect="006F2870">
          <w:footerReference w:type="default" r:id="rId10"/>
          <w:pgSz w:w="12240" w:h="15840"/>
          <w:pgMar w:top="1440" w:right="1440" w:bottom="1440" w:left="1440" w:header="720" w:footer="720" w:gutter="0"/>
          <w:pgNumType w:fmt="lowerRoman" w:start="1"/>
          <w:cols w:space="720"/>
          <w:docGrid w:linePitch="360"/>
        </w:sectPr>
      </w:pPr>
      <w:r w:rsidRPr="00B973C7">
        <w:rPr>
          <w:rFonts w:ascii="Arial" w:hAnsi="Arial" w:cs="Arial"/>
          <w:b/>
          <w:sz w:val="24"/>
          <w:szCs w:val="24"/>
        </w:rPr>
        <w:fldChar w:fldCharType="end"/>
      </w:r>
      <w:r>
        <w:br w:type="page"/>
      </w:r>
    </w:p>
    <w:p w14:paraId="2ABEC868" w14:textId="5945B81D" w:rsidR="00F84AE4" w:rsidRPr="0033055B" w:rsidRDefault="00100A82" w:rsidP="00455E08">
      <w:pPr>
        <w:pStyle w:val="Heading1"/>
        <w:spacing w:after="240" w:line="240" w:lineRule="auto"/>
        <w:rPr>
          <w:rFonts w:asciiTheme="minorHAnsi" w:hAnsiTheme="minorHAnsi" w:cstheme="minorHAnsi"/>
          <w:b/>
          <w:color w:val="auto"/>
          <w:sz w:val="28"/>
          <w:szCs w:val="28"/>
        </w:rPr>
      </w:pPr>
      <w:bookmarkStart w:id="8" w:name="_Toc518377677"/>
      <w:r>
        <w:rPr>
          <w:rFonts w:asciiTheme="minorHAnsi" w:hAnsiTheme="minorHAnsi"/>
          <w:b/>
          <w:color w:val="auto"/>
          <w:sz w:val="28"/>
          <w:szCs w:val="28"/>
        </w:rPr>
        <w:t>1. PËRMBLEDHJE E POLI</w:t>
      </w:r>
      <w:r w:rsidR="002D4C1B">
        <w:rPr>
          <w:rFonts w:asciiTheme="minorHAnsi" w:hAnsiTheme="minorHAnsi"/>
          <w:b/>
          <w:color w:val="auto"/>
          <w:sz w:val="28"/>
          <w:szCs w:val="28"/>
        </w:rPr>
        <w:t xml:space="preserve">TIKËS SHTETËRORE TË ENERGJISË NGA BURIMET E </w:t>
      </w:r>
      <w:r>
        <w:rPr>
          <w:rFonts w:asciiTheme="minorHAnsi" w:hAnsiTheme="minorHAnsi"/>
          <w:b/>
          <w:color w:val="auto"/>
          <w:sz w:val="28"/>
          <w:szCs w:val="28"/>
        </w:rPr>
        <w:t xml:space="preserve"> RIPËRTËRISHME</w:t>
      </w:r>
      <w:bookmarkEnd w:id="8"/>
    </w:p>
    <w:p w14:paraId="741AFDB1" w14:textId="2D4C4EA4" w:rsidR="00FA734E" w:rsidRPr="0033055B" w:rsidRDefault="00FA734E" w:rsidP="003B7120">
      <w:pPr>
        <w:spacing w:line="256" w:lineRule="auto"/>
        <w:jc w:val="both"/>
      </w:pPr>
      <w:r>
        <w:t xml:space="preserve">Burimet e Ripërtërishme të Energjisë (BRE) përbëjnë një element të rëndësishëm të sektorit të energjisë në Kosovë, siç edhe përcaktohet me Strategjinë e Energjisë të Republikës së Kosovës 2017-2026. Strategjia e Energjisë e Kosovës 2017-2026 vendos objektivat themelorë të Qeverisë së Kosovës për zhvillimin e sektorit të energjisë, promovimin e zhvillimit të qëndrueshëm ekonomik, mbrojtjen e mjedisit, furnizimin e qëndrueshëm dhe të besueshëm të energjisë tek konsumatorët fundorë, shfrytëzimin efikas të energjisë, zhvillimin e kapaciteteve të reja konvencionale dhe të ripërtërishme të gjenerimit, krijimin e tregut konkurrues, zhvillimin e sistemit të gazit, si dhe krijimin e vendeve të reja të punës në sektorin e energjisë. </w:t>
      </w:r>
      <w:r>
        <w:rPr>
          <w:rFonts w:ascii="Calibri" w:hAnsi="Calibri"/>
        </w:rPr>
        <w:t>Strategjia e Energjisë 2017-2026 mundëson promovimin e BRE-ve,</w:t>
      </w:r>
      <w:r>
        <w:t xml:space="preserve"> duke përforcuar masat e mëtutjeshme fiskale e financiare për BRE-të si dhe kornizën ligjore dhe rregullative.</w:t>
      </w:r>
    </w:p>
    <w:p w14:paraId="2F005D8C" w14:textId="404C2932" w:rsidR="003B7120" w:rsidRPr="00B35633" w:rsidRDefault="003B7120" w:rsidP="003B7120">
      <w:pPr>
        <w:spacing w:line="256" w:lineRule="auto"/>
        <w:jc w:val="both"/>
        <w:rPr>
          <w:rFonts w:ascii="Calibri" w:eastAsia="Calibri" w:hAnsi="Calibri"/>
        </w:rPr>
      </w:pPr>
      <w:r>
        <w:rPr>
          <w:rFonts w:ascii="Calibri" w:hAnsi="Calibri"/>
        </w:rPr>
        <w:t xml:space="preserve">Plani </w:t>
      </w:r>
      <w:r w:rsidR="00695F75" w:rsidRPr="002D4C1B">
        <w:rPr>
          <w:rFonts w:ascii="Calibri" w:hAnsi="Calibri"/>
        </w:rPr>
        <w:t>Kombëtar i</w:t>
      </w:r>
      <w:r w:rsidR="00695F75">
        <w:rPr>
          <w:rFonts w:ascii="Calibri" w:hAnsi="Calibri"/>
        </w:rPr>
        <w:t xml:space="preserve"> Veprimit për Burimet e Ripërtërishme te </w:t>
      </w:r>
      <w:r>
        <w:rPr>
          <w:rFonts w:ascii="Calibri" w:hAnsi="Calibri"/>
        </w:rPr>
        <w:t>Energji</w:t>
      </w:r>
      <w:r w:rsidR="00695F75">
        <w:rPr>
          <w:rFonts w:ascii="Calibri" w:hAnsi="Calibri"/>
        </w:rPr>
        <w:t xml:space="preserve">së </w:t>
      </w:r>
      <w:r>
        <w:rPr>
          <w:rFonts w:ascii="Calibri" w:hAnsi="Calibri"/>
        </w:rPr>
        <w:t xml:space="preserve"> (P</w:t>
      </w:r>
      <w:r w:rsidR="00695F75">
        <w:rPr>
          <w:rFonts w:ascii="Calibri" w:hAnsi="Calibri"/>
        </w:rPr>
        <w:t>K</w:t>
      </w:r>
      <w:r w:rsidR="00036128">
        <w:rPr>
          <w:rFonts w:ascii="Calibri" w:hAnsi="Calibri"/>
        </w:rPr>
        <w:t>V</w:t>
      </w:r>
      <w:r w:rsidR="00695F75">
        <w:rPr>
          <w:rFonts w:ascii="Calibri" w:hAnsi="Calibri"/>
        </w:rPr>
        <w:t>B</w:t>
      </w:r>
      <w:r w:rsidR="00036128">
        <w:rPr>
          <w:rFonts w:ascii="Calibri" w:hAnsi="Calibri"/>
        </w:rPr>
        <w:t>R</w:t>
      </w:r>
      <w:r w:rsidR="00695F75">
        <w:rPr>
          <w:rFonts w:ascii="Calibri" w:hAnsi="Calibri"/>
        </w:rPr>
        <w:t>E</w:t>
      </w:r>
      <w:r>
        <w:rPr>
          <w:rFonts w:ascii="Calibri" w:hAnsi="Calibri"/>
        </w:rPr>
        <w:t xml:space="preserve">) për periudhën 2011-2020 është dorëzuar më 2013, duke caktuar nën-caqet specifike në kuadër të cakut kryesore prej 25%, si dhe duke propozuar masat për arritjen e tyre deri më 2020. Kosova ka vendosur, në kuadër të </w:t>
      </w:r>
      <w:r w:rsidR="00077D78">
        <w:rPr>
          <w:rFonts w:ascii="Calibri" w:hAnsi="Calibri"/>
        </w:rPr>
        <w:t>këtij versioni të parë të PKVBRE</w:t>
      </w:r>
      <w:r>
        <w:rPr>
          <w:rFonts w:ascii="Calibri" w:hAnsi="Calibri"/>
        </w:rPr>
        <w:t>-së të zbatojë një cak</w:t>
      </w:r>
      <w:r>
        <w:rPr>
          <w:rFonts w:ascii="Calibri" w:hAnsi="Calibri"/>
          <w:b/>
        </w:rPr>
        <w:t xml:space="preserve"> </w:t>
      </w:r>
      <w:r>
        <w:rPr>
          <w:rFonts w:ascii="Calibri" w:hAnsi="Calibri"/>
        </w:rPr>
        <w:t>të dytë</w:t>
      </w:r>
      <w:r>
        <w:rPr>
          <w:rFonts w:ascii="Calibri" w:hAnsi="Calibri"/>
          <w:b/>
        </w:rPr>
        <w:t xml:space="preserve">, </w:t>
      </w:r>
      <w:r>
        <w:rPr>
          <w:rFonts w:ascii="Calibri" w:hAnsi="Calibri"/>
        </w:rPr>
        <w:t>edhe më ambicioz sesa ai i përgjithshëm i dety</w:t>
      </w:r>
      <w:r w:rsidR="00077D78">
        <w:rPr>
          <w:rFonts w:ascii="Calibri" w:hAnsi="Calibri"/>
        </w:rPr>
        <w:t>rueshëm shtetëror për pjesëmarrjen</w:t>
      </w:r>
      <w:r>
        <w:rPr>
          <w:rFonts w:ascii="Calibri" w:hAnsi="Calibri"/>
        </w:rPr>
        <w:t xml:space="preserve"> e BRE-ve në konsumin bruto final të energjisë për vitin 2020. Kjo është përcaktuar në vendimin e Këshillit Ministror të Komunitetit të Energjisë D/2012/04/</w:t>
      </w:r>
      <w:r w:rsidRPr="002D4C1B">
        <w:rPr>
          <w:rFonts w:ascii="Calibri" w:hAnsi="Calibri"/>
        </w:rPr>
        <w:t xml:space="preserve">MC-EnC për zbatimin e Direktivës 2009/28/EC që ndryshon nenin 20 të Traktatit të Komunitetit të Energjisë. </w:t>
      </w:r>
      <w:r w:rsidR="004547BD" w:rsidRPr="002D4C1B">
        <w:rPr>
          <w:rFonts w:ascii="Calibri" w:hAnsi="Calibri"/>
        </w:rPr>
        <w:t>PK</w:t>
      </w:r>
      <w:r w:rsidRPr="002D4C1B">
        <w:rPr>
          <w:rFonts w:ascii="Calibri" w:hAnsi="Calibri"/>
        </w:rPr>
        <w:t>V</w:t>
      </w:r>
      <w:r w:rsidR="004547BD" w:rsidRPr="002D4C1B">
        <w:rPr>
          <w:rFonts w:ascii="Calibri" w:hAnsi="Calibri"/>
        </w:rPr>
        <w:t>BRE</w:t>
      </w:r>
      <w:r w:rsidRPr="002D4C1B">
        <w:rPr>
          <w:rFonts w:ascii="Calibri" w:hAnsi="Calibri"/>
        </w:rPr>
        <w:t xml:space="preserve">-ja ka përmendur që Kosova mëton të përmbushë e të tejkalojë cakun e vet të detyrueshëm shtetëror përmes </w:t>
      </w:r>
      <w:r>
        <w:rPr>
          <w:rFonts w:ascii="Calibri" w:hAnsi="Calibri"/>
        </w:rPr>
        <w:t xml:space="preserve">marrjes së masave shtetërore për promovimin e BRE-ve, pa synuar eksploatimin e mekanizmave të ndryshëm fleksibilë të bashkëpunimit, si projektet dhe skemat e përbashkëta. Ky cak i dytë është vënë tek shifra prej 29.47% të konsumit të pritur bruto final të energjisë më 2020. </w:t>
      </w:r>
    </w:p>
    <w:p w14:paraId="3C11838D" w14:textId="618CA3FA" w:rsidR="003B7120" w:rsidRPr="0033055B" w:rsidRDefault="003B7120" w:rsidP="003B7120">
      <w:pPr>
        <w:spacing w:line="256" w:lineRule="auto"/>
        <w:rPr>
          <w:rFonts w:ascii="Calibri" w:eastAsia="Calibri" w:hAnsi="Calibri"/>
        </w:rPr>
      </w:pPr>
      <w:r>
        <w:rPr>
          <w:rFonts w:ascii="Calibri" w:hAnsi="Calibri"/>
        </w:rPr>
        <w:t>Pasqyra e cakut të p</w:t>
      </w:r>
      <w:r w:rsidR="00077D78">
        <w:rPr>
          <w:rFonts w:ascii="Calibri" w:hAnsi="Calibri"/>
        </w:rPr>
        <w:t xml:space="preserve">ërgjithshëm shtetëror për pjesëmarrjen </w:t>
      </w:r>
      <w:r>
        <w:rPr>
          <w:rFonts w:ascii="Calibri" w:hAnsi="Calibri"/>
        </w:rPr>
        <w:t>e BRE-ve në konsumin bruto final të energjisë për vitin 2020, siç është përcaktuar në vitin 2013, është paraqitur tek Tabela 1.</w:t>
      </w:r>
    </w:p>
    <w:p w14:paraId="06F07AD6" w14:textId="7ACDAB45" w:rsidR="003B7120" w:rsidRPr="0033055B" w:rsidRDefault="003B7120" w:rsidP="003B7120">
      <w:pPr>
        <w:keepNext/>
        <w:spacing w:after="200"/>
        <w:jc w:val="center"/>
        <w:rPr>
          <w:rFonts w:ascii="Calibri" w:eastAsia="Calibri" w:hAnsi="Calibri"/>
          <w:b/>
          <w:iCs/>
        </w:rPr>
      </w:pPr>
      <w:bookmarkStart w:id="9" w:name="_Toc518377693"/>
      <w:r>
        <w:rPr>
          <w:rFonts w:ascii="Calibri" w:hAnsi="Calibri"/>
          <w:b/>
          <w:iCs/>
        </w:rPr>
        <w:t xml:space="preserve">Tabela </w:t>
      </w:r>
      <w:r w:rsidR="00724C64" w:rsidRPr="0033055B">
        <w:rPr>
          <w:rFonts w:ascii="Calibri" w:eastAsia="Calibri" w:hAnsi="Calibri"/>
          <w:b/>
          <w:iCs/>
        </w:rPr>
        <w:fldChar w:fldCharType="begin"/>
      </w:r>
      <w:r w:rsidRPr="0033055B">
        <w:rPr>
          <w:rFonts w:ascii="Calibri" w:eastAsia="Calibri" w:hAnsi="Calibri"/>
          <w:b/>
          <w:iCs/>
        </w:rPr>
        <w:instrText xml:space="preserve"> SEQ Table \* ARABIC </w:instrText>
      </w:r>
      <w:r w:rsidR="00724C64" w:rsidRPr="0033055B">
        <w:rPr>
          <w:rFonts w:ascii="Calibri" w:eastAsia="Calibri" w:hAnsi="Calibri"/>
          <w:b/>
          <w:iCs/>
        </w:rPr>
        <w:fldChar w:fldCharType="separate"/>
      </w:r>
      <w:r w:rsidR="00DC4741">
        <w:rPr>
          <w:rFonts w:ascii="Calibri" w:eastAsia="Calibri" w:hAnsi="Calibri"/>
          <w:b/>
          <w:iCs/>
          <w:noProof/>
        </w:rPr>
        <w:t>1</w:t>
      </w:r>
      <w:r w:rsidR="00724C64" w:rsidRPr="0033055B">
        <w:rPr>
          <w:rFonts w:ascii="Calibri" w:eastAsia="Calibri" w:hAnsi="Calibri"/>
          <w:b/>
          <w:iCs/>
        </w:rPr>
        <w:fldChar w:fldCharType="end"/>
      </w:r>
      <w:r>
        <w:rPr>
          <w:rFonts w:ascii="Calibri" w:hAnsi="Calibri"/>
          <w:b/>
          <w:iCs/>
        </w:rPr>
        <w:t>: Caqet e përgjithshme shtetërore për pjesën e energjisë nga BRE-të më 2020</w:t>
      </w:r>
      <w:bookmarkEnd w:id="9"/>
      <w:r>
        <w:rPr>
          <w:rFonts w:ascii="Calibri" w:hAnsi="Calibri"/>
          <w:b/>
          <w:iCs/>
        </w:rPr>
        <w:t xml:space="preserve"> </w:t>
      </w:r>
    </w:p>
    <w:tbl>
      <w:tblPr>
        <w:tblW w:w="7394" w:type="dxa"/>
        <w:jc w:val="center"/>
        <w:tblLook w:val="04A0" w:firstRow="1" w:lastRow="0" w:firstColumn="1" w:lastColumn="0" w:noHBand="0" w:noVBand="1"/>
      </w:tblPr>
      <w:tblGrid>
        <w:gridCol w:w="4315"/>
        <w:gridCol w:w="1776"/>
        <w:gridCol w:w="1303"/>
      </w:tblGrid>
      <w:tr w:rsidR="003B7120" w:rsidRPr="0033055B" w14:paraId="58BB315F" w14:textId="77777777" w:rsidTr="00E565CD">
        <w:trPr>
          <w:trHeight w:val="70"/>
          <w:jc w:val="center"/>
        </w:trPr>
        <w:tc>
          <w:tcPr>
            <w:tcW w:w="431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2A52993" w14:textId="77777777" w:rsidR="003B7120" w:rsidRPr="0033055B" w:rsidRDefault="003B7120">
            <w:pPr>
              <w:spacing w:after="0" w:line="256" w:lineRule="auto"/>
              <w:jc w:val="center"/>
              <w:rPr>
                <w:rFonts w:ascii="Calibri" w:eastAsia="Times New Roman" w:hAnsi="Calibri" w:cs="Calibri"/>
                <w:b/>
              </w:rPr>
            </w:pPr>
            <w:r>
              <w:rPr>
                <w:rFonts w:ascii="Calibri" w:hAnsi="Calibri"/>
                <w:b/>
              </w:rPr>
              <w:t>Figura</w:t>
            </w:r>
          </w:p>
        </w:tc>
        <w:tc>
          <w:tcPr>
            <w:tcW w:w="1776"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2538D155" w14:textId="77777777" w:rsidR="003B7120" w:rsidRPr="0033055B" w:rsidRDefault="003B7120">
            <w:pPr>
              <w:spacing w:after="0" w:line="256" w:lineRule="auto"/>
              <w:jc w:val="center"/>
              <w:rPr>
                <w:rFonts w:ascii="Calibri" w:hAnsi="Calibri" w:cs="Calibri"/>
                <w:b/>
                <w:bCs/>
              </w:rPr>
            </w:pPr>
            <w:r>
              <w:rPr>
                <w:rFonts w:ascii="Calibri" w:hAnsi="Calibri"/>
                <w:b/>
                <w:bCs/>
              </w:rPr>
              <w:t>Obligative</w:t>
            </w:r>
          </w:p>
        </w:tc>
        <w:tc>
          <w:tcPr>
            <w:tcW w:w="1303"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0FC3770F" w14:textId="77777777" w:rsidR="003B7120" w:rsidRPr="0033055B" w:rsidRDefault="003B7120">
            <w:pPr>
              <w:spacing w:after="0" w:line="256" w:lineRule="auto"/>
              <w:jc w:val="center"/>
              <w:rPr>
                <w:rFonts w:ascii="Calibri" w:hAnsi="Calibri" w:cs="Calibri"/>
                <w:b/>
                <w:bCs/>
              </w:rPr>
            </w:pPr>
            <w:r>
              <w:rPr>
                <w:rFonts w:ascii="Calibri" w:hAnsi="Calibri"/>
                <w:b/>
                <w:bCs/>
              </w:rPr>
              <w:t>Vullnetare</w:t>
            </w:r>
          </w:p>
        </w:tc>
      </w:tr>
      <w:tr w:rsidR="003B7120" w:rsidRPr="0033055B" w14:paraId="7DA5DB28" w14:textId="77777777" w:rsidTr="00E565CD">
        <w:trPr>
          <w:trHeight w:val="488"/>
          <w:jc w:val="center"/>
        </w:trPr>
        <w:tc>
          <w:tcPr>
            <w:tcW w:w="4315" w:type="dxa"/>
            <w:tcBorders>
              <w:top w:val="nil"/>
              <w:left w:val="single" w:sz="4" w:space="0" w:color="auto"/>
              <w:bottom w:val="single" w:sz="4" w:space="0" w:color="auto"/>
              <w:right w:val="single" w:sz="4" w:space="0" w:color="auto"/>
            </w:tcBorders>
            <w:noWrap/>
            <w:vAlign w:val="center"/>
            <w:hideMark/>
          </w:tcPr>
          <w:p w14:paraId="2061E8D3" w14:textId="77777777" w:rsidR="003B7120" w:rsidRPr="0033055B" w:rsidRDefault="003B7120">
            <w:pPr>
              <w:spacing w:after="0" w:line="256" w:lineRule="auto"/>
              <w:rPr>
                <w:rFonts w:ascii="Calibri" w:hAnsi="Calibri" w:cs="Calibri"/>
                <w:b/>
                <w:bCs/>
              </w:rPr>
            </w:pPr>
            <w:r>
              <w:rPr>
                <w:rFonts w:ascii="Calibri" w:hAnsi="Calibri"/>
                <w:b/>
                <w:bCs/>
              </w:rPr>
              <w:t>Caku i energjisë nga burimet e ripërtrishme në konsumin përfundimtar bruto të energjisë (%)</w:t>
            </w:r>
          </w:p>
        </w:tc>
        <w:tc>
          <w:tcPr>
            <w:tcW w:w="1776" w:type="dxa"/>
            <w:tcBorders>
              <w:top w:val="nil"/>
              <w:left w:val="nil"/>
              <w:bottom w:val="single" w:sz="4" w:space="0" w:color="auto"/>
              <w:right w:val="single" w:sz="4" w:space="0" w:color="auto"/>
            </w:tcBorders>
            <w:noWrap/>
            <w:vAlign w:val="center"/>
            <w:hideMark/>
          </w:tcPr>
          <w:p w14:paraId="672D9BED" w14:textId="77777777" w:rsidR="003B7120" w:rsidRPr="0033055B" w:rsidRDefault="003B7120">
            <w:pPr>
              <w:spacing w:after="0" w:line="256" w:lineRule="auto"/>
              <w:jc w:val="center"/>
              <w:rPr>
                <w:rFonts w:ascii="Calibri" w:hAnsi="Calibri" w:cs="Calibri"/>
                <w:bCs/>
              </w:rPr>
            </w:pPr>
            <w:r>
              <w:rPr>
                <w:rFonts w:ascii="Calibri" w:hAnsi="Calibri"/>
                <w:bCs/>
              </w:rPr>
              <w:t>25%</w:t>
            </w:r>
          </w:p>
        </w:tc>
        <w:tc>
          <w:tcPr>
            <w:tcW w:w="1303" w:type="dxa"/>
            <w:tcBorders>
              <w:top w:val="nil"/>
              <w:left w:val="nil"/>
              <w:bottom w:val="single" w:sz="4" w:space="0" w:color="auto"/>
              <w:right w:val="single" w:sz="4" w:space="0" w:color="auto"/>
            </w:tcBorders>
            <w:noWrap/>
            <w:vAlign w:val="center"/>
            <w:hideMark/>
          </w:tcPr>
          <w:p w14:paraId="5BC3B28E" w14:textId="77777777" w:rsidR="003B7120" w:rsidRPr="0033055B" w:rsidRDefault="003B7120">
            <w:pPr>
              <w:spacing w:after="0" w:line="256" w:lineRule="auto"/>
              <w:jc w:val="center"/>
              <w:rPr>
                <w:rFonts w:ascii="Calibri" w:hAnsi="Calibri" w:cs="Calibri"/>
                <w:bCs/>
              </w:rPr>
            </w:pPr>
            <w:r>
              <w:rPr>
                <w:rFonts w:ascii="Calibri" w:hAnsi="Calibri"/>
                <w:bCs/>
              </w:rPr>
              <w:t>29.47%</w:t>
            </w:r>
          </w:p>
        </w:tc>
      </w:tr>
      <w:tr w:rsidR="003B7120" w:rsidRPr="0033055B" w14:paraId="3598E92D" w14:textId="77777777" w:rsidTr="00E565CD">
        <w:trPr>
          <w:trHeight w:val="488"/>
          <w:jc w:val="center"/>
        </w:trPr>
        <w:tc>
          <w:tcPr>
            <w:tcW w:w="4315" w:type="dxa"/>
            <w:tcBorders>
              <w:top w:val="nil"/>
              <w:left w:val="single" w:sz="4" w:space="0" w:color="auto"/>
              <w:bottom w:val="single" w:sz="4" w:space="0" w:color="auto"/>
              <w:right w:val="single" w:sz="4" w:space="0" w:color="auto"/>
            </w:tcBorders>
            <w:noWrap/>
            <w:vAlign w:val="center"/>
            <w:hideMark/>
          </w:tcPr>
          <w:p w14:paraId="5ED58B1C" w14:textId="77777777" w:rsidR="003B7120" w:rsidRPr="0033055B" w:rsidRDefault="003B7120">
            <w:pPr>
              <w:spacing w:after="0" w:line="256" w:lineRule="auto"/>
              <w:rPr>
                <w:rFonts w:ascii="Calibri" w:hAnsi="Calibri" w:cs="Calibri"/>
                <w:b/>
                <w:bCs/>
              </w:rPr>
            </w:pPr>
            <w:r>
              <w:rPr>
                <w:rFonts w:ascii="Calibri" w:hAnsi="Calibri"/>
                <w:b/>
                <w:bCs/>
              </w:rPr>
              <w:t>Konsumi i pritur total i energjisë korrigjuar (ktoe)</w:t>
            </w:r>
          </w:p>
        </w:tc>
        <w:tc>
          <w:tcPr>
            <w:tcW w:w="1776" w:type="dxa"/>
            <w:tcBorders>
              <w:top w:val="nil"/>
              <w:left w:val="nil"/>
              <w:bottom w:val="single" w:sz="4" w:space="0" w:color="auto"/>
              <w:right w:val="single" w:sz="4" w:space="0" w:color="auto"/>
            </w:tcBorders>
            <w:noWrap/>
            <w:vAlign w:val="center"/>
            <w:hideMark/>
          </w:tcPr>
          <w:p w14:paraId="41469B7F" w14:textId="77777777" w:rsidR="003B7120" w:rsidRPr="0033055B" w:rsidRDefault="003B7120">
            <w:pPr>
              <w:spacing w:after="0" w:line="256" w:lineRule="auto"/>
              <w:jc w:val="center"/>
              <w:rPr>
                <w:rFonts w:ascii="Calibri" w:hAnsi="Calibri" w:cs="Calibri"/>
                <w:bCs/>
              </w:rPr>
            </w:pPr>
            <w:r>
              <w:rPr>
                <w:rFonts w:ascii="Calibri" w:hAnsi="Calibri"/>
                <w:bCs/>
              </w:rPr>
              <w:t>1729.82</w:t>
            </w:r>
          </w:p>
        </w:tc>
        <w:tc>
          <w:tcPr>
            <w:tcW w:w="1303" w:type="dxa"/>
            <w:tcBorders>
              <w:top w:val="nil"/>
              <w:left w:val="nil"/>
              <w:bottom w:val="single" w:sz="4" w:space="0" w:color="auto"/>
              <w:right w:val="single" w:sz="4" w:space="0" w:color="auto"/>
            </w:tcBorders>
            <w:noWrap/>
            <w:vAlign w:val="center"/>
            <w:hideMark/>
          </w:tcPr>
          <w:p w14:paraId="4CC8274F" w14:textId="77777777" w:rsidR="003B7120" w:rsidRPr="0033055B" w:rsidRDefault="003B7120">
            <w:pPr>
              <w:spacing w:after="0" w:line="256" w:lineRule="auto"/>
              <w:jc w:val="center"/>
              <w:rPr>
                <w:rFonts w:ascii="Calibri" w:hAnsi="Calibri" w:cs="Calibri"/>
                <w:bCs/>
              </w:rPr>
            </w:pPr>
            <w:r>
              <w:rPr>
                <w:rFonts w:ascii="Calibri" w:hAnsi="Calibri"/>
                <w:bCs/>
              </w:rPr>
              <w:t>1729.82</w:t>
            </w:r>
          </w:p>
        </w:tc>
      </w:tr>
      <w:tr w:rsidR="003B7120" w:rsidRPr="0033055B" w14:paraId="3F0D2D85" w14:textId="77777777" w:rsidTr="00E565CD">
        <w:trPr>
          <w:trHeight w:val="489"/>
          <w:jc w:val="center"/>
        </w:trPr>
        <w:tc>
          <w:tcPr>
            <w:tcW w:w="4315" w:type="dxa"/>
            <w:tcBorders>
              <w:top w:val="nil"/>
              <w:left w:val="single" w:sz="4" w:space="0" w:color="auto"/>
              <w:bottom w:val="single" w:sz="4" w:space="0" w:color="auto"/>
              <w:right w:val="single" w:sz="4" w:space="0" w:color="auto"/>
            </w:tcBorders>
            <w:noWrap/>
            <w:vAlign w:val="center"/>
            <w:hideMark/>
          </w:tcPr>
          <w:p w14:paraId="46363744" w14:textId="77777777" w:rsidR="003B7120" w:rsidRPr="0033055B" w:rsidRDefault="003B7120">
            <w:pPr>
              <w:spacing w:after="0" w:line="256" w:lineRule="auto"/>
              <w:rPr>
                <w:rFonts w:ascii="Calibri" w:hAnsi="Calibri" w:cs="Calibri"/>
                <w:b/>
                <w:bCs/>
              </w:rPr>
            </w:pPr>
            <w:r>
              <w:rPr>
                <w:rFonts w:ascii="Calibri" w:hAnsi="Calibri"/>
                <w:b/>
                <w:bCs/>
              </w:rPr>
              <w:t>Sasia e pritur e energjisë nga burime të ripërtrishme që i përgjigjen cakut të vitit 2020 (ktoe)</w:t>
            </w:r>
          </w:p>
        </w:tc>
        <w:tc>
          <w:tcPr>
            <w:tcW w:w="1776" w:type="dxa"/>
            <w:tcBorders>
              <w:top w:val="nil"/>
              <w:left w:val="nil"/>
              <w:bottom w:val="single" w:sz="4" w:space="0" w:color="auto"/>
              <w:right w:val="single" w:sz="4" w:space="0" w:color="auto"/>
            </w:tcBorders>
            <w:noWrap/>
            <w:vAlign w:val="center"/>
            <w:hideMark/>
          </w:tcPr>
          <w:p w14:paraId="28F31654" w14:textId="77777777" w:rsidR="003B7120" w:rsidRPr="0033055B" w:rsidRDefault="003B7120">
            <w:pPr>
              <w:spacing w:after="0" w:line="256" w:lineRule="auto"/>
              <w:jc w:val="center"/>
              <w:rPr>
                <w:rFonts w:ascii="Calibri" w:hAnsi="Calibri" w:cs="Calibri"/>
                <w:bCs/>
              </w:rPr>
            </w:pPr>
            <w:r>
              <w:rPr>
                <w:rFonts w:ascii="Calibri" w:hAnsi="Calibri"/>
                <w:bCs/>
              </w:rPr>
              <w:t>432.46</w:t>
            </w:r>
          </w:p>
        </w:tc>
        <w:tc>
          <w:tcPr>
            <w:tcW w:w="1303" w:type="dxa"/>
            <w:tcBorders>
              <w:top w:val="nil"/>
              <w:left w:val="nil"/>
              <w:bottom w:val="single" w:sz="4" w:space="0" w:color="auto"/>
              <w:right w:val="single" w:sz="4" w:space="0" w:color="auto"/>
            </w:tcBorders>
            <w:noWrap/>
            <w:vAlign w:val="center"/>
            <w:hideMark/>
          </w:tcPr>
          <w:p w14:paraId="10AC5A34" w14:textId="77777777" w:rsidR="003B7120" w:rsidRPr="0033055B" w:rsidRDefault="006A1C6F">
            <w:pPr>
              <w:spacing w:after="0" w:line="256" w:lineRule="auto"/>
              <w:jc w:val="center"/>
              <w:rPr>
                <w:rFonts w:ascii="Calibri" w:hAnsi="Calibri" w:cs="Calibri"/>
                <w:bCs/>
              </w:rPr>
            </w:pPr>
            <w:r>
              <w:rPr>
                <w:rFonts w:ascii="Calibri" w:hAnsi="Calibri"/>
                <w:bCs/>
              </w:rPr>
              <w:t>509.70</w:t>
            </w:r>
          </w:p>
        </w:tc>
      </w:tr>
    </w:tbl>
    <w:p w14:paraId="77981CBB" w14:textId="7BF55799" w:rsidR="003B7120" w:rsidRPr="00E565CD" w:rsidRDefault="00A852A5" w:rsidP="00D75714">
      <w:pPr>
        <w:spacing w:line="256" w:lineRule="auto"/>
        <w:ind w:left="720" w:firstLine="720"/>
        <w:rPr>
          <w:rFonts w:ascii="Calibri" w:eastAsia="Calibri" w:hAnsi="Calibri" w:cs="Times New Roman"/>
          <w:i/>
        </w:rPr>
      </w:pPr>
      <w:r>
        <w:rPr>
          <w:rFonts w:ascii="Calibri" w:hAnsi="Calibri"/>
          <w:i/>
          <w:iCs/>
        </w:rPr>
        <w:t>Burimi</w:t>
      </w:r>
      <w:r w:rsidRPr="002D4C1B">
        <w:rPr>
          <w:rFonts w:ascii="Calibri" w:hAnsi="Calibri"/>
          <w:i/>
          <w:iCs/>
        </w:rPr>
        <w:t>:</w:t>
      </w:r>
      <w:r w:rsidR="004547BD" w:rsidRPr="002D4C1B">
        <w:rPr>
          <w:rFonts w:ascii="Calibri" w:hAnsi="Calibri"/>
          <w:i/>
          <w:iCs/>
        </w:rPr>
        <w:t xml:space="preserve"> PK</w:t>
      </w:r>
      <w:r w:rsidRPr="002D4C1B">
        <w:rPr>
          <w:rFonts w:ascii="Calibri" w:hAnsi="Calibri"/>
          <w:i/>
          <w:iCs/>
        </w:rPr>
        <w:t>V</w:t>
      </w:r>
      <w:r w:rsidR="004547BD" w:rsidRPr="002D4C1B">
        <w:rPr>
          <w:rFonts w:ascii="Calibri" w:hAnsi="Calibri"/>
          <w:i/>
          <w:iCs/>
        </w:rPr>
        <w:t>B</w:t>
      </w:r>
      <w:r w:rsidRPr="002D4C1B">
        <w:rPr>
          <w:rFonts w:ascii="Calibri" w:hAnsi="Calibri"/>
          <w:i/>
          <w:iCs/>
        </w:rPr>
        <w:t>R</w:t>
      </w:r>
      <w:r w:rsidR="004547BD" w:rsidRPr="002D4C1B">
        <w:rPr>
          <w:rFonts w:ascii="Calibri" w:hAnsi="Calibri"/>
          <w:i/>
          <w:iCs/>
        </w:rPr>
        <w:t>E</w:t>
      </w:r>
      <w:r w:rsidRPr="002D4C1B">
        <w:rPr>
          <w:rFonts w:ascii="Calibri" w:hAnsi="Calibri"/>
          <w:i/>
          <w:iCs/>
        </w:rPr>
        <w:t xml:space="preserve">, </w:t>
      </w:r>
      <w:r>
        <w:rPr>
          <w:rFonts w:ascii="Calibri" w:hAnsi="Calibri"/>
          <w:i/>
          <w:iCs/>
        </w:rPr>
        <w:t>2013.</w:t>
      </w:r>
    </w:p>
    <w:p w14:paraId="219334D6" w14:textId="3FB9A34F" w:rsidR="003B7120" w:rsidRPr="0033055B" w:rsidRDefault="003B7120" w:rsidP="007563F9">
      <w:pPr>
        <w:spacing w:line="256" w:lineRule="auto"/>
        <w:jc w:val="both"/>
        <w:rPr>
          <w:rFonts w:ascii="Calibri" w:eastAsia="Calibri" w:hAnsi="Calibri"/>
        </w:rPr>
      </w:pPr>
      <w:r>
        <w:rPr>
          <w:rFonts w:ascii="Calibri" w:hAnsi="Calibri"/>
        </w:rPr>
        <w:t>Arritja e caqeve vjetore të energjisë nga BRE-të është para</w:t>
      </w:r>
      <w:r w:rsidR="00077D78">
        <w:rPr>
          <w:rFonts w:ascii="Calibri" w:hAnsi="Calibri"/>
        </w:rPr>
        <w:t xml:space="preserve">parë të përmbushet nga pjesëmarrja e </w:t>
      </w:r>
      <w:r>
        <w:rPr>
          <w:rFonts w:ascii="Calibri" w:hAnsi="Calibri"/>
        </w:rPr>
        <w:t xml:space="preserve"> teknologjive specifike të BRE-ve në gjenerimin e energjisë elektrike (BRE-E), në prodhimin e ngrohjes dhe ftohjes (BRE-N), si dhe në sektorin e </w:t>
      </w:r>
      <w:r w:rsidR="00077D78">
        <w:rPr>
          <w:rFonts w:ascii="Calibri" w:hAnsi="Calibri"/>
        </w:rPr>
        <w:t>transportit</w:t>
      </w:r>
      <w:r>
        <w:rPr>
          <w:rFonts w:ascii="Calibri" w:hAnsi="Calibri"/>
        </w:rPr>
        <w:t xml:space="preserve"> (BRE-T). Në këtë drejtim, janë vendosur tre nën-caqe të ndryshme ashtu që të lehtësohet arritja e cakut të energjisë nga BRE-të për vitin 2020.</w:t>
      </w:r>
    </w:p>
    <w:p w14:paraId="1DC2ACC4" w14:textId="77777777" w:rsidR="006F2870" w:rsidRDefault="006F2870" w:rsidP="003B7120">
      <w:pPr>
        <w:spacing w:line="256" w:lineRule="auto"/>
        <w:rPr>
          <w:rFonts w:ascii="Calibri" w:eastAsia="Calibri" w:hAnsi="Calibri"/>
          <w:lang w:val="en-GB"/>
        </w:rPr>
      </w:pPr>
    </w:p>
    <w:p w14:paraId="275EB5CF" w14:textId="5935F5B2" w:rsidR="003B7120" w:rsidRPr="002D4C1B" w:rsidRDefault="003B7120" w:rsidP="003B7120">
      <w:pPr>
        <w:spacing w:line="256" w:lineRule="auto"/>
        <w:rPr>
          <w:rFonts w:ascii="Calibri" w:eastAsia="Calibri" w:hAnsi="Calibri"/>
        </w:rPr>
      </w:pPr>
      <w:r>
        <w:rPr>
          <w:rFonts w:ascii="Calibri" w:hAnsi="Calibri"/>
        </w:rPr>
        <w:t xml:space="preserve">Këta tre nën-caqe </w:t>
      </w:r>
      <w:r>
        <w:rPr>
          <w:rFonts w:ascii="Calibri" w:hAnsi="Calibri"/>
          <w:i/>
        </w:rPr>
        <w:t xml:space="preserve">në versionin e vitit 2013 të </w:t>
      </w:r>
      <w:r w:rsidR="002D4C1B" w:rsidRPr="002D4C1B">
        <w:rPr>
          <w:rFonts w:ascii="Calibri" w:hAnsi="Calibri"/>
          <w:i/>
        </w:rPr>
        <w:t>PKVBRE</w:t>
      </w:r>
      <w:r w:rsidRPr="002D4C1B">
        <w:rPr>
          <w:rFonts w:ascii="Calibri" w:hAnsi="Calibri"/>
          <w:i/>
        </w:rPr>
        <w:t>-së</w:t>
      </w:r>
      <w:r w:rsidRPr="002D4C1B">
        <w:rPr>
          <w:rFonts w:ascii="Calibri" w:hAnsi="Calibri"/>
        </w:rPr>
        <w:t xml:space="preserve"> kanë qenë si vijon:</w:t>
      </w:r>
    </w:p>
    <w:p w14:paraId="77718549" w14:textId="57A8E0B7" w:rsidR="003B7120" w:rsidRPr="002D4C1B" w:rsidRDefault="003B7120" w:rsidP="003B7120">
      <w:pPr>
        <w:pStyle w:val="ListParagraph"/>
        <w:numPr>
          <w:ilvl w:val="0"/>
          <w:numId w:val="5"/>
        </w:numPr>
        <w:overflowPunct/>
        <w:autoSpaceDE/>
        <w:adjustRightInd/>
        <w:spacing w:after="160" w:line="256" w:lineRule="auto"/>
        <w:rPr>
          <w:rFonts w:ascii="Calibri" w:eastAsia="Calibri" w:hAnsi="Calibri"/>
          <w:szCs w:val="22"/>
        </w:rPr>
      </w:pPr>
      <w:r w:rsidRPr="002D4C1B">
        <w:rPr>
          <w:rFonts w:ascii="Calibri" w:hAnsi="Calibri"/>
          <w:b/>
          <w:szCs w:val="22"/>
        </w:rPr>
        <w:t xml:space="preserve">25.64% </w:t>
      </w:r>
      <w:r w:rsidR="004547BD" w:rsidRPr="002D4C1B">
        <w:rPr>
          <w:rFonts w:ascii="Calibri" w:hAnsi="Calibri"/>
          <w:b/>
          <w:szCs w:val="22"/>
        </w:rPr>
        <w:t>pjesëmarrjen</w:t>
      </w:r>
      <w:r w:rsidRPr="002D4C1B">
        <w:rPr>
          <w:rFonts w:ascii="Calibri" w:hAnsi="Calibri"/>
          <w:b/>
          <w:szCs w:val="22"/>
        </w:rPr>
        <w:t xml:space="preserve"> të BRE-ve në konsumin bruto final të energjisë elektrike</w:t>
      </w:r>
      <w:r w:rsidRPr="002D4C1B">
        <w:rPr>
          <w:rFonts w:ascii="Calibri" w:hAnsi="Calibri"/>
          <w:szCs w:val="22"/>
        </w:rPr>
        <w:t>, që duhet të arrihet me instalimin e hidrocentraleve të vogla (240 MWe), hidrocentralit të Zhurit 305 MWe), impianteve me erë (150 MWe), impianteve me biomasë (14 MWe) si dhe impianteve fotovoltaike (10 MWe).</w:t>
      </w:r>
    </w:p>
    <w:p w14:paraId="59133F79" w14:textId="6257DBD1" w:rsidR="003B7120" w:rsidRPr="002D4C1B" w:rsidRDefault="003B7120" w:rsidP="003B7120">
      <w:pPr>
        <w:pStyle w:val="ListParagraph"/>
        <w:numPr>
          <w:ilvl w:val="0"/>
          <w:numId w:val="5"/>
        </w:numPr>
        <w:overflowPunct/>
        <w:autoSpaceDE/>
        <w:adjustRightInd/>
        <w:spacing w:after="160" w:line="256" w:lineRule="auto"/>
        <w:rPr>
          <w:rFonts w:ascii="Calibri" w:eastAsia="Calibri" w:hAnsi="Calibri"/>
          <w:szCs w:val="22"/>
        </w:rPr>
      </w:pPr>
      <w:r w:rsidRPr="002D4C1B">
        <w:rPr>
          <w:rFonts w:ascii="Calibri" w:hAnsi="Calibri"/>
          <w:b/>
          <w:szCs w:val="22"/>
        </w:rPr>
        <w:t xml:space="preserve">10% </w:t>
      </w:r>
      <w:r w:rsidR="004547BD" w:rsidRPr="002D4C1B">
        <w:rPr>
          <w:rFonts w:ascii="Calibri" w:hAnsi="Calibri"/>
          <w:b/>
          <w:szCs w:val="22"/>
        </w:rPr>
        <w:t>pjesëmarrjen</w:t>
      </w:r>
      <w:r w:rsidRPr="002D4C1B">
        <w:rPr>
          <w:rFonts w:ascii="Calibri" w:hAnsi="Calibri"/>
          <w:b/>
          <w:szCs w:val="22"/>
        </w:rPr>
        <w:t xml:space="preserve"> të BRE-ve në konsumin përfundimtar në transport</w:t>
      </w:r>
      <w:r w:rsidRPr="002D4C1B">
        <w:rPr>
          <w:rFonts w:ascii="Calibri" w:hAnsi="Calibri"/>
          <w:szCs w:val="22"/>
        </w:rPr>
        <w:t>, që duhet të arrihet me shtrirjen e bio-karburanteve.</w:t>
      </w:r>
    </w:p>
    <w:p w14:paraId="5276EBD5" w14:textId="608B7888" w:rsidR="003B7120" w:rsidRDefault="003B7120" w:rsidP="003B7120">
      <w:pPr>
        <w:pStyle w:val="ListParagraph"/>
        <w:numPr>
          <w:ilvl w:val="0"/>
          <w:numId w:val="5"/>
        </w:numPr>
        <w:overflowPunct/>
        <w:autoSpaceDE/>
        <w:adjustRightInd/>
        <w:spacing w:after="160" w:line="256" w:lineRule="auto"/>
        <w:rPr>
          <w:rFonts w:ascii="Calibri" w:eastAsia="Calibri" w:hAnsi="Calibri"/>
          <w:szCs w:val="22"/>
        </w:rPr>
      </w:pPr>
      <w:r w:rsidRPr="002D4C1B">
        <w:rPr>
          <w:rFonts w:ascii="Calibri" w:hAnsi="Calibri"/>
          <w:b/>
          <w:szCs w:val="22"/>
        </w:rPr>
        <w:t xml:space="preserve">45.65% </w:t>
      </w:r>
      <w:r w:rsidR="004547BD" w:rsidRPr="002D4C1B">
        <w:rPr>
          <w:rFonts w:ascii="Calibri" w:hAnsi="Calibri"/>
          <w:b/>
          <w:szCs w:val="22"/>
        </w:rPr>
        <w:t xml:space="preserve">pjesëmarrjen </w:t>
      </w:r>
      <w:r w:rsidRPr="002D4C1B">
        <w:rPr>
          <w:rFonts w:ascii="Calibri" w:hAnsi="Calibri"/>
          <w:b/>
          <w:szCs w:val="22"/>
        </w:rPr>
        <w:t xml:space="preserve"> të BRE-v</w:t>
      </w:r>
      <w:r>
        <w:rPr>
          <w:rFonts w:ascii="Calibri" w:hAnsi="Calibri"/>
          <w:b/>
          <w:szCs w:val="22"/>
        </w:rPr>
        <w:t>e në konsumin përfundimtar të ngrohjes dhe ftohjes</w:t>
      </w:r>
      <w:r>
        <w:rPr>
          <w:rFonts w:ascii="Calibri" w:hAnsi="Calibri"/>
          <w:szCs w:val="22"/>
        </w:rPr>
        <w:t>, që duhet të arrihet me promovimin e energjisë diellore (70 MWth), pompave gjeotermike të ngrohjes (10 MWth) si dhe biomasës në formën e druve tradicionalë të zjarrit.</w:t>
      </w:r>
    </w:p>
    <w:p w14:paraId="18EBB8C1" w14:textId="77777777" w:rsidR="005929A3" w:rsidRPr="0033055B" w:rsidRDefault="005929A3" w:rsidP="00E565CD">
      <w:pPr>
        <w:pStyle w:val="ListParagraph"/>
        <w:overflowPunct/>
        <w:autoSpaceDE/>
        <w:adjustRightInd/>
        <w:spacing w:after="160" w:line="256" w:lineRule="auto"/>
        <w:ind w:left="720" w:firstLine="0"/>
        <w:rPr>
          <w:rFonts w:ascii="Calibri" w:eastAsia="Calibri" w:hAnsi="Calibri"/>
          <w:szCs w:val="22"/>
          <w:lang w:val="en-GB" w:eastAsia="en-US"/>
        </w:rPr>
      </w:pPr>
    </w:p>
    <w:p w14:paraId="3A4C8D1F" w14:textId="5D8F816F" w:rsidR="005929A3" w:rsidRPr="006B66E4" w:rsidRDefault="005929A3" w:rsidP="00E565CD">
      <w:pPr>
        <w:spacing w:line="256" w:lineRule="auto"/>
        <w:rPr>
          <w:rFonts w:ascii="Calibri" w:eastAsia="Calibri" w:hAnsi="Calibri"/>
          <w:color w:val="000000" w:themeColor="text1"/>
        </w:rPr>
      </w:pPr>
      <w:r>
        <w:rPr>
          <w:rFonts w:ascii="Calibri" w:hAnsi="Calibri"/>
          <w:color w:val="000000" w:themeColor="text1"/>
        </w:rPr>
        <w:t>Më 2017, u vendos edhe vlerësimi i progresit aktual në lidhje me arritjen e caqeve të vendosura, ashtu që të përditësohen edhe caqet e specifikuara por edhe politikat e parapara. Dorëzimi</w:t>
      </w:r>
      <w:r w:rsidR="004547BD">
        <w:rPr>
          <w:rFonts w:ascii="Calibri" w:hAnsi="Calibri"/>
          <w:color w:val="000000" w:themeColor="text1"/>
        </w:rPr>
        <w:t xml:space="preserve"> i planit të rishikuar kombëtar të veprimit nga burimet e</w:t>
      </w:r>
      <w:r>
        <w:rPr>
          <w:rFonts w:ascii="Calibri" w:hAnsi="Calibri"/>
          <w:color w:val="000000" w:themeColor="text1"/>
        </w:rPr>
        <w:t xml:space="preserve"> </w:t>
      </w:r>
      <w:r w:rsidR="004547BD">
        <w:rPr>
          <w:rFonts w:ascii="Calibri" w:hAnsi="Calibri"/>
          <w:color w:val="000000" w:themeColor="text1"/>
        </w:rPr>
        <w:t>ripërtërishme te energjisë</w:t>
      </w:r>
      <w:r>
        <w:rPr>
          <w:rFonts w:ascii="Calibri" w:hAnsi="Calibri"/>
          <w:color w:val="000000" w:themeColor="text1"/>
        </w:rPr>
        <w:t xml:space="preserve"> deri më 30 qershor 2018, për shkak të devijimeve më të mëdha se 1 pikë përqindjeje nga trajektorja indikative e regjistruar gjatë periudhës 2014-2015, është kërkuar nga Këshilli Ministror, duke marrë parasysh Raportin e Dytë të Sekretariatit mbi progres</w:t>
      </w:r>
      <w:r w:rsidR="004547BD">
        <w:rPr>
          <w:rFonts w:ascii="Calibri" w:hAnsi="Calibri"/>
          <w:color w:val="000000" w:themeColor="text1"/>
        </w:rPr>
        <w:t xml:space="preserve">in në Promovimin e Energjisë nga Burimet e </w:t>
      </w:r>
      <w:r>
        <w:rPr>
          <w:rFonts w:ascii="Calibri" w:hAnsi="Calibri"/>
          <w:color w:val="000000" w:themeColor="text1"/>
        </w:rPr>
        <w:t>Ripërtërishme në Komunitetin e Energjisë 2014-2015.</w:t>
      </w:r>
    </w:p>
    <w:p w14:paraId="37423348" w14:textId="7E4AF8B5" w:rsidR="003B7120" w:rsidRPr="0033055B" w:rsidRDefault="00C21831" w:rsidP="00343EE1">
      <w:pPr>
        <w:spacing w:line="256" w:lineRule="auto"/>
        <w:jc w:val="both"/>
        <w:rPr>
          <w:rFonts w:ascii="Calibri" w:eastAsia="Calibri" w:hAnsi="Calibri"/>
        </w:rPr>
      </w:pPr>
      <w:r>
        <w:rPr>
          <w:rFonts w:ascii="Calibri" w:hAnsi="Calibri"/>
        </w:rPr>
        <w:t>Në vlerësim (dokume</w:t>
      </w:r>
      <w:r w:rsidR="004547BD">
        <w:rPr>
          <w:rFonts w:ascii="Calibri" w:hAnsi="Calibri"/>
        </w:rPr>
        <w:t>nt i veçantë) si dhe këtë PKVBRE</w:t>
      </w:r>
      <w:r>
        <w:rPr>
          <w:rFonts w:ascii="Calibri" w:hAnsi="Calibri"/>
        </w:rPr>
        <w:t xml:space="preserve"> të rishikuar, vlerësimi i cakut të BRE-ve për vitin 2020 (BRE-Total) u bë përmes veglës SHARES</w:t>
      </w:r>
      <w:r w:rsidR="00690CD8">
        <w:rPr>
          <w:rStyle w:val="FootnoteReference"/>
          <w:rFonts w:ascii="Calibri" w:eastAsia="Calibri" w:hAnsi="Calibri"/>
          <w:lang w:val="en-GB"/>
        </w:rPr>
        <w:footnoteReference w:id="1"/>
      </w:r>
      <w:r>
        <w:rPr>
          <w:rFonts w:ascii="Calibri" w:hAnsi="Calibri"/>
        </w:rPr>
        <w:t>, duke marrë të dhënat për Kosovën, që janë në dispozicion tek Eurostat-i.</w:t>
      </w:r>
    </w:p>
    <w:p w14:paraId="01B61006" w14:textId="77777777" w:rsidR="003B7120" w:rsidRPr="0033055B" w:rsidRDefault="003B7120" w:rsidP="003B7120">
      <w:pPr>
        <w:spacing w:line="256" w:lineRule="auto"/>
        <w:rPr>
          <w:rFonts w:ascii="Calibri" w:eastAsia="Calibri" w:hAnsi="Calibri"/>
        </w:rPr>
      </w:pPr>
      <w:r>
        <w:rPr>
          <w:rFonts w:ascii="Calibri" w:hAnsi="Calibri"/>
        </w:rPr>
        <w:t>Figura 1 paraqet progresin e penetrimit të BRE-ve në krahasim me caqet e vendosura për vitin 2020 për BRE-Total, derisa rezultatet analitike janë paraqitur në Tabelën 2.</w:t>
      </w:r>
    </w:p>
    <w:p w14:paraId="409178DE" w14:textId="77777777" w:rsidR="003B7120" w:rsidRPr="0033055B" w:rsidRDefault="003B7120" w:rsidP="003B7120">
      <w:pPr>
        <w:spacing w:line="256" w:lineRule="auto"/>
        <w:jc w:val="center"/>
        <w:rPr>
          <w:rFonts w:ascii="Calibri" w:eastAsia="Calibri" w:hAnsi="Calibri"/>
        </w:rPr>
      </w:pPr>
      <w:r w:rsidRPr="0033055B">
        <w:rPr>
          <w:rFonts w:ascii="Calibri" w:eastAsia="Calibri" w:hAnsi="Calibri"/>
          <w:noProof/>
          <w:lang w:val="en-US"/>
        </w:rPr>
        <w:drawing>
          <wp:inline distT="0" distB="0" distL="0" distR="0" wp14:anchorId="404DB0D1" wp14:editId="7F85134B">
            <wp:extent cx="5038725" cy="3657600"/>
            <wp:effectExtent l="0" t="0" r="9525"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38725" cy="3657600"/>
                    </a:xfrm>
                    <a:prstGeom prst="rect">
                      <a:avLst/>
                    </a:prstGeom>
                    <a:noFill/>
                    <a:ln>
                      <a:noFill/>
                    </a:ln>
                  </pic:spPr>
                </pic:pic>
              </a:graphicData>
            </a:graphic>
          </wp:inline>
        </w:drawing>
      </w:r>
    </w:p>
    <w:p w14:paraId="27D6A974" w14:textId="5EEA4450" w:rsidR="003B7120" w:rsidRPr="0033055B" w:rsidRDefault="003B7120" w:rsidP="003B7120">
      <w:pPr>
        <w:spacing w:after="200"/>
        <w:jc w:val="center"/>
        <w:rPr>
          <w:rFonts w:ascii="Calibri" w:eastAsia="Calibri" w:hAnsi="Calibri"/>
          <w:b/>
          <w:iCs/>
        </w:rPr>
      </w:pPr>
      <w:bookmarkStart w:id="10" w:name="_Toc518377712"/>
      <w:r>
        <w:rPr>
          <w:rFonts w:ascii="Calibri" w:hAnsi="Calibri"/>
          <w:b/>
          <w:iCs/>
        </w:rPr>
        <w:t xml:space="preserve">Figura </w:t>
      </w:r>
      <w:r w:rsidR="00724C64" w:rsidRPr="0033055B">
        <w:rPr>
          <w:rFonts w:ascii="Calibri" w:eastAsia="Calibri" w:hAnsi="Calibri"/>
          <w:b/>
          <w:iCs/>
        </w:rPr>
        <w:fldChar w:fldCharType="begin"/>
      </w:r>
      <w:r w:rsidRPr="0033055B">
        <w:rPr>
          <w:rFonts w:ascii="Calibri" w:eastAsia="Calibri" w:hAnsi="Calibri"/>
          <w:b/>
          <w:iCs/>
        </w:rPr>
        <w:instrText xml:space="preserve"> SEQ Figure \* ARABIC </w:instrText>
      </w:r>
      <w:r w:rsidR="00724C64" w:rsidRPr="0033055B">
        <w:rPr>
          <w:rFonts w:ascii="Calibri" w:eastAsia="Calibri" w:hAnsi="Calibri"/>
          <w:b/>
          <w:iCs/>
        </w:rPr>
        <w:fldChar w:fldCharType="separate"/>
      </w:r>
      <w:r w:rsidR="00DC4741">
        <w:rPr>
          <w:rFonts w:ascii="Calibri" w:eastAsia="Calibri" w:hAnsi="Calibri"/>
          <w:b/>
          <w:iCs/>
          <w:noProof/>
        </w:rPr>
        <w:t>1</w:t>
      </w:r>
      <w:r w:rsidR="00724C64" w:rsidRPr="0033055B">
        <w:rPr>
          <w:rFonts w:ascii="Calibri" w:eastAsia="Calibri" w:hAnsi="Calibri"/>
          <w:b/>
          <w:iCs/>
        </w:rPr>
        <w:fldChar w:fldCharType="end"/>
      </w:r>
      <w:r>
        <w:rPr>
          <w:rFonts w:ascii="Calibri" w:hAnsi="Calibri"/>
          <w:b/>
          <w:iCs/>
        </w:rPr>
        <w:t>: Përparimi drejt përmbushjes së caqeve për BRE-Total</w:t>
      </w:r>
      <w:bookmarkEnd w:id="10"/>
    </w:p>
    <w:p w14:paraId="712F9896" w14:textId="77777777" w:rsidR="007A79A9" w:rsidRPr="0033055B" w:rsidRDefault="007A79A9" w:rsidP="003B7120">
      <w:pPr>
        <w:spacing w:after="200"/>
        <w:jc w:val="center"/>
        <w:rPr>
          <w:rFonts w:ascii="Calibri" w:eastAsia="Calibri" w:hAnsi="Calibri"/>
          <w:b/>
          <w:iCs/>
          <w:lang w:val="en-GB"/>
        </w:rPr>
      </w:pPr>
    </w:p>
    <w:p w14:paraId="49FD9D57" w14:textId="778FE0F5" w:rsidR="0088631E" w:rsidRPr="0033055B" w:rsidRDefault="0088631E" w:rsidP="0088631E">
      <w:pPr>
        <w:spacing w:line="256" w:lineRule="auto"/>
        <w:jc w:val="both"/>
        <w:rPr>
          <w:rFonts w:ascii="Calibri" w:eastAsia="Calibri" w:hAnsi="Calibri"/>
        </w:rPr>
      </w:pPr>
      <w:r>
        <w:rPr>
          <w:rFonts w:ascii="Calibri" w:hAnsi="Calibri"/>
        </w:rPr>
        <w:t>duhet theksuar që edhe caqet obligative edhe ato vulln</w:t>
      </w:r>
      <w:r w:rsidR="004547BD">
        <w:rPr>
          <w:rFonts w:ascii="Calibri" w:hAnsi="Calibri"/>
        </w:rPr>
        <w:t>etare siç janë caktuar me PKVBRE</w:t>
      </w:r>
      <w:r>
        <w:rPr>
          <w:rFonts w:ascii="Calibri" w:hAnsi="Calibri"/>
        </w:rPr>
        <w:t xml:space="preserve"> 2011-2020 janë paraqitur në Figurën 1, ashtu që të vlerësohet perspektiva për përmbushjen reale të cakut BRE-Total.</w:t>
      </w:r>
    </w:p>
    <w:p w14:paraId="2189ED59" w14:textId="482CEE39" w:rsidR="003B7120" w:rsidRPr="0033055B" w:rsidRDefault="003B7120" w:rsidP="003B7120">
      <w:pPr>
        <w:keepNext/>
        <w:spacing w:after="200"/>
        <w:jc w:val="center"/>
        <w:rPr>
          <w:rFonts w:ascii="Calibri" w:eastAsia="Calibri" w:hAnsi="Calibri"/>
          <w:b/>
          <w:iCs/>
        </w:rPr>
      </w:pPr>
      <w:bookmarkStart w:id="11" w:name="_Toc518377694"/>
      <w:r>
        <w:rPr>
          <w:rFonts w:ascii="Calibri" w:hAnsi="Calibri"/>
          <w:b/>
          <w:iCs/>
        </w:rPr>
        <w:t xml:space="preserve">Tabela </w:t>
      </w:r>
      <w:r w:rsidR="00724C64" w:rsidRPr="0033055B">
        <w:rPr>
          <w:rFonts w:ascii="Calibri" w:eastAsia="Calibri" w:hAnsi="Calibri"/>
          <w:b/>
          <w:iCs/>
        </w:rPr>
        <w:fldChar w:fldCharType="begin"/>
      </w:r>
      <w:r w:rsidRPr="0033055B">
        <w:rPr>
          <w:rFonts w:ascii="Calibri" w:eastAsia="Calibri" w:hAnsi="Calibri"/>
          <w:b/>
          <w:iCs/>
        </w:rPr>
        <w:instrText xml:space="preserve"> SEQ Table \* ARABIC </w:instrText>
      </w:r>
      <w:r w:rsidR="00724C64" w:rsidRPr="0033055B">
        <w:rPr>
          <w:rFonts w:ascii="Calibri" w:eastAsia="Calibri" w:hAnsi="Calibri"/>
          <w:b/>
          <w:iCs/>
        </w:rPr>
        <w:fldChar w:fldCharType="separate"/>
      </w:r>
      <w:r w:rsidR="00DC4741">
        <w:rPr>
          <w:rFonts w:ascii="Calibri" w:eastAsia="Calibri" w:hAnsi="Calibri"/>
          <w:b/>
          <w:iCs/>
          <w:noProof/>
        </w:rPr>
        <w:t>2</w:t>
      </w:r>
      <w:r w:rsidR="00724C64" w:rsidRPr="0033055B">
        <w:rPr>
          <w:rFonts w:ascii="Calibri" w:eastAsia="Calibri" w:hAnsi="Calibri"/>
          <w:b/>
          <w:iCs/>
        </w:rPr>
        <w:fldChar w:fldCharType="end"/>
      </w:r>
      <w:r>
        <w:rPr>
          <w:rFonts w:ascii="Calibri" w:hAnsi="Calibri"/>
          <w:b/>
          <w:iCs/>
        </w:rPr>
        <w:t>: Përparimi drejt përmbushjes së caqeve për BRE</w:t>
      </w:r>
      <w:bookmarkEnd w:id="11"/>
    </w:p>
    <w:tbl>
      <w:tblPr>
        <w:tblStyle w:val="Tabelraster1"/>
        <w:tblW w:w="10831" w:type="dxa"/>
        <w:jc w:val="center"/>
        <w:tblLayout w:type="fixed"/>
        <w:tblLook w:val="04A0" w:firstRow="1" w:lastRow="0" w:firstColumn="1" w:lastColumn="0" w:noHBand="0" w:noVBand="1"/>
      </w:tblPr>
      <w:tblGrid>
        <w:gridCol w:w="2784"/>
        <w:gridCol w:w="1006"/>
        <w:gridCol w:w="1005"/>
        <w:gridCol w:w="1006"/>
        <w:gridCol w:w="1006"/>
        <w:gridCol w:w="1006"/>
        <w:gridCol w:w="1006"/>
        <w:gridCol w:w="1006"/>
        <w:gridCol w:w="1006"/>
      </w:tblGrid>
      <w:tr w:rsidR="004E5A10" w:rsidRPr="0033055B" w14:paraId="018E0E0D" w14:textId="72723C90" w:rsidTr="00053368">
        <w:trPr>
          <w:trHeight w:val="85"/>
          <w:tblHeader/>
          <w:jc w:val="center"/>
        </w:trPr>
        <w:tc>
          <w:tcPr>
            <w:tcW w:w="278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43632189" w14:textId="77777777" w:rsidR="004E5A10" w:rsidRPr="0033055B" w:rsidRDefault="004E5A10">
            <w:pPr>
              <w:rPr>
                <w:rFonts w:ascii="Calibri" w:eastAsia="Calibri" w:hAnsi="Calibri"/>
                <w:b/>
                <w:iCs/>
                <w:lang w:val="en-GB"/>
              </w:rPr>
            </w:pPr>
          </w:p>
        </w:tc>
        <w:tc>
          <w:tcPr>
            <w:tcW w:w="100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4D0A5312" w14:textId="77777777" w:rsidR="004E5A10" w:rsidRPr="0033055B" w:rsidRDefault="004E5A10">
            <w:pPr>
              <w:jc w:val="center"/>
              <w:rPr>
                <w:rFonts w:ascii="Calibri" w:eastAsia="Calibri" w:hAnsi="Calibri" w:cs="Times New Roman"/>
                <w:b/>
                <w:bCs/>
              </w:rPr>
            </w:pPr>
            <w:r>
              <w:rPr>
                <w:rFonts w:ascii="Calibri" w:hAnsi="Calibri"/>
                <w:b/>
                <w:bCs/>
              </w:rPr>
              <w:t>2009</w:t>
            </w:r>
          </w:p>
        </w:tc>
        <w:tc>
          <w:tcPr>
            <w:tcW w:w="100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2021AC43" w14:textId="77777777" w:rsidR="004E5A10" w:rsidRPr="0033055B" w:rsidRDefault="004E5A10">
            <w:pPr>
              <w:jc w:val="center"/>
              <w:rPr>
                <w:rFonts w:ascii="Calibri" w:eastAsia="Calibri" w:hAnsi="Calibri"/>
                <w:b/>
                <w:bCs/>
              </w:rPr>
            </w:pPr>
            <w:r>
              <w:rPr>
                <w:rFonts w:ascii="Calibri" w:hAnsi="Calibri"/>
                <w:b/>
                <w:bCs/>
              </w:rPr>
              <w:t>2010</w:t>
            </w:r>
          </w:p>
        </w:tc>
        <w:tc>
          <w:tcPr>
            <w:tcW w:w="100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0B456DB2" w14:textId="77777777" w:rsidR="004E5A10" w:rsidRPr="0033055B" w:rsidRDefault="004E5A10">
            <w:pPr>
              <w:jc w:val="center"/>
              <w:rPr>
                <w:rFonts w:ascii="Calibri" w:eastAsia="Calibri" w:hAnsi="Calibri"/>
                <w:b/>
                <w:bCs/>
              </w:rPr>
            </w:pPr>
            <w:r>
              <w:rPr>
                <w:rFonts w:ascii="Calibri" w:hAnsi="Calibri"/>
                <w:b/>
                <w:bCs/>
              </w:rPr>
              <w:t>2015</w:t>
            </w:r>
          </w:p>
        </w:tc>
        <w:tc>
          <w:tcPr>
            <w:tcW w:w="10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5F1A53" w14:textId="65E2F53D" w:rsidR="004E5A10" w:rsidRPr="0033055B" w:rsidRDefault="004E5A10">
            <w:pPr>
              <w:jc w:val="center"/>
              <w:rPr>
                <w:rFonts w:ascii="Calibri" w:eastAsia="Calibri" w:hAnsi="Calibri"/>
                <w:b/>
                <w:bCs/>
              </w:rPr>
            </w:pPr>
            <w:r>
              <w:rPr>
                <w:rFonts w:ascii="Calibri" w:hAnsi="Calibri"/>
                <w:b/>
                <w:bCs/>
              </w:rPr>
              <w:t>2016</w:t>
            </w:r>
          </w:p>
        </w:tc>
        <w:tc>
          <w:tcPr>
            <w:tcW w:w="10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6D8A98" w14:textId="778BBD1F" w:rsidR="004E5A10" w:rsidRPr="0033055B" w:rsidRDefault="004E5A10">
            <w:pPr>
              <w:jc w:val="center"/>
              <w:rPr>
                <w:rFonts w:ascii="Calibri" w:eastAsia="Calibri" w:hAnsi="Calibri"/>
                <w:b/>
                <w:bCs/>
              </w:rPr>
            </w:pPr>
            <w:r>
              <w:rPr>
                <w:rFonts w:ascii="Calibri" w:hAnsi="Calibri"/>
                <w:b/>
                <w:bCs/>
              </w:rPr>
              <w:t>2017</w:t>
            </w:r>
          </w:p>
        </w:tc>
        <w:tc>
          <w:tcPr>
            <w:tcW w:w="10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5419C5" w14:textId="46157A17" w:rsidR="004E5A10" w:rsidRPr="0033055B" w:rsidRDefault="004E5A10">
            <w:pPr>
              <w:jc w:val="center"/>
              <w:rPr>
                <w:rFonts w:ascii="Calibri" w:eastAsia="Calibri" w:hAnsi="Calibri"/>
                <w:b/>
                <w:bCs/>
              </w:rPr>
            </w:pPr>
            <w:r>
              <w:rPr>
                <w:rFonts w:ascii="Calibri" w:hAnsi="Calibri"/>
                <w:b/>
                <w:bCs/>
              </w:rPr>
              <w:t>2018</w:t>
            </w:r>
          </w:p>
        </w:tc>
        <w:tc>
          <w:tcPr>
            <w:tcW w:w="10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67ED89" w14:textId="6780A2A1" w:rsidR="004E5A10" w:rsidRPr="0033055B" w:rsidRDefault="004E5A10">
            <w:pPr>
              <w:jc w:val="center"/>
              <w:rPr>
                <w:rFonts w:ascii="Calibri" w:eastAsia="Calibri" w:hAnsi="Calibri"/>
                <w:b/>
                <w:bCs/>
              </w:rPr>
            </w:pPr>
            <w:r>
              <w:rPr>
                <w:rFonts w:ascii="Calibri" w:hAnsi="Calibri"/>
                <w:b/>
                <w:bCs/>
              </w:rPr>
              <w:t>2019</w:t>
            </w:r>
          </w:p>
        </w:tc>
        <w:tc>
          <w:tcPr>
            <w:tcW w:w="10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09872B" w14:textId="344CCEC5" w:rsidR="004E5A10" w:rsidRPr="0033055B" w:rsidRDefault="004E5A10">
            <w:pPr>
              <w:jc w:val="center"/>
              <w:rPr>
                <w:rFonts w:ascii="Calibri" w:eastAsia="Calibri" w:hAnsi="Calibri"/>
                <w:b/>
                <w:bCs/>
              </w:rPr>
            </w:pPr>
            <w:r>
              <w:rPr>
                <w:rFonts w:ascii="Calibri" w:hAnsi="Calibri"/>
                <w:b/>
                <w:bCs/>
              </w:rPr>
              <w:t>2020</w:t>
            </w:r>
          </w:p>
        </w:tc>
      </w:tr>
      <w:tr w:rsidR="00FF5D18" w:rsidRPr="0033055B" w14:paraId="73DD0B86" w14:textId="0B699EF3" w:rsidTr="00053368">
        <w:trPr>
          <w:trHeight w:val="148"/>
          <w:jc w:val="center"/>
        </w:trPr>
        <w:tc>
          <w:tcPr>
            <w:tcW w:w="2784" w:type="dxa"/>
            <w:tcBorders>
              <w:top w:val="single" w:sz="4" w:space="0" w:color="auto"/>
              <w:left w:val="single" w:sz="4" w:space="0" w:color="auto"/>
              <w:bottom w:val="single" w:sz="4" w:space="0" w:color="auto"/>
              <w:right w:val="single" w:sz="4" w:space="0" w:color="auto"/>
            </w:tcBorders>
            <w:noWrap/>
            <w:hideMark/>
          </w:tcPr>
          <w:p w14:paraId="41BDA7AB" w14:textId="77777777" w:rsidR="00FF5D18" w:rsidRPr="0033055B" w:rsidRDefault="00FF5D18" w:rsidP="00FF5D18">
            <w:pPr>
              <w:rPr>
                <w:rFonts w:ascii="Calibri" w:eastAsia="Calibri" w:hAnsi="Calibri"/>
                <w:b/>
                <w:bCs/>
              </w:rPr>
            </w:pPr>
            <w:r>
              <w:rPr>
                <w:rFonts w:ascii="Calibri" w:hAnsi="Calibri"/>
                <w:b/>
                <w:bCs/>
              </w:rPr>
              <w:t>Numëruesi BRE-E numerator (ktoe)</w:t>
            </w:r>
          </w:p>
        </w:tc>
        <w:tc>
          <w:tcPr>
            <w:tcW w:w="1006" w:type="dxa"/>
            <w:tcBorders>
              <w:top w:val="single" w:sz="4" w:space="0" w:color="auto"/>
              <w:left w:val="single" w:sz="4" w:space="0" w:color="auto"/>
              <w:bottom w:val="single" w:sz="4" w:space="0" w:color="auto"/>
              <w:right w:val="single" w:sz="4" w:space="0" w:color="auto"/>
            </w:tcBorders>
            <w:noWrap/>
            <w:hideMark/>
          </w:tcPr>
          <w:p w14:paraId="23D625A3" w14:textId="77777777" w:rsidR="00FF5D18" w:rsidRPr="0033055B" w:rsidRDefault="00FF5D18" w:rsidP="00FF5D18">
            <w:pPr>
              <w:jc w:val="center"/>
              <w:rPr>
                <w:rFonts w:ascii="Calibri" w:eastAsia="Calibri" w:hAnsi="Calibri"/>
              </w:rPr>
            </w:pPr>
            <w:r>
              <w:rPr>
                <w:rFonts w:ascii="Calibri" w:hAnsi="Calibri"/>
              </w:rPr>
              <w:t>5.3</w:t>
            </w:r>
          </w:p>
        </w:tc>
        <w:tc>
          <w:tcPr>
            <w:tcW w:w="1005" w:type="dxa"/>
            <w:tcBorders>
              <w:top w:val="single" w:sz="4" w:space="0" w:color="auto"/>
              <w:left w:val="single" w:sz="4" w:space="0" w:color="auto"/>
              <w:bottom w:val="single" w:sz="4" w:space="0" w:color="auto"/>
              <w:right w:val="single" w:sz="4" w:space="0" w:color="auto"/>
            </w:tcBorders>
            <w:noWrap/>
            <w:hideMark/>
          </w:tcPr>
          <w:p w14:paraId="696EAD56" w14:textId="77777777" w:rsidR="00FF5D18" w:rsidRPr="0033055B" w:rsidRDefault="00FF5D18" w:rsidP="00FF5D18">
            <w:pPr>
              <w:jc w:val="center"/>
              <w:rPr>
                <w:rFonts w:ascii="Calibri" w:eastAsia="Calibri" w:hAnsi="Calibri"/>
              </w:rPr>
            </w:pPr>
            <w:r>
              <w:rPr>
                <w:rFonts w:ascii="Calibri" w:hAnsi="Calibri"/>
              </w:rPr>
              <w:t>6.5</w:t>
            </w:r>
          </w:p>
        </w:tc>
        <w:tc>
          <w:tcPr>
            <w:tcW w:w="1006" w:type="dxa"/>
            <w:tcBorders>
              <w:top w:val="single" w:sz="4" w:space="0" w:color="auto"/>
              <w:left w:val="single" w:sz="4" w:space="0" w:color="auto"/>
              <w:bottom w:val="single" w:sz="4" w:space="0" w:color="auto"/>
              <w:right w:val="single" w:sz="4" w:space="0" w:color="auto"/>
            </w:tcBorders>
            <w:noWrap/>
            <w:hideMark/>
          </w:tcPr>
          <w:p w14:paraId="7E6B4257" w14:textId="77777777" w:rsidR="00FF5D18" w:rsidRPr="0033055B" w:rsidRDefault="00FF5D18" w:rsidP="00FF5D18">
            <w:pPr>
              <w:jc w:val="center"/>
              <w:rPr>
                <w:rFonts w:ascii="Calibri" w:eastAsia="Calibri" w:hAnsi="Calibri"/>
              </w:rPr>
            </w:pPr>
            <w:r>
              <w:rPr>
                <w:rFonts w:ascii="Calibri" w:hAnsi="Calibri"/>
              </w:rPr>
              <w:t>9.9</w:t>
            </w:r>
          </w:p>
        </w:tc>
        <w:tc>
          <w:tcPr>
            <w:tcW w:w="1006" w:type="dxa"/>
            <w:tcBorders>
              <w:top w:val="single" w:sz="4" w:space="0" w:color="auto"/>
              <w:left w:val="single" w:sz="4" w:space="0" w:color="auto"/>
              <w:bottom w:val="single" w:sz="4" w:space="0" w:color="auto"/>
              <w:right w:val="single" w:sz="4" w:space="0" w:color="auto"/>
            </w:tcBorders>
          </w:tcPr>
          <w:p w14:paraId="6FFFAB87" w14:textId="5B0C44FF" w:rsidR="00FF5D18" w:rsidRPr="0033055B" w:rsidRDefault="00FF5D18" w:rsidP="00FF5D18">
            <w:pPr>
              <w:jc w:val="center"/>
              <w:rPr>
                <w:rFonts w:ascii="Calibri" w:eastAsia="Calibri" w:hAnsi="Calibri"/>
              </w:rPr>
            </w:pPr>
            <w:r>
              <w:t>28.7</w:t>
            </w:r>
          </w:p>
        </w:tc>
        <w:tc>
          <w:tcPr>
            <w:tcW w:w="1006" w:type="dxa"/>
            <w:tcBorders>
              <w:top w:val="single" w:sz="4" w:space="0" w:color="auto"/>
              <w:left w:val="single" w:sz="4" w:space="0" w:color="auto"/>
              <w:bottom w:val="single" w:sz="4" w:space="0" w:color="auto"/>
              <w:right w:val="single" w:sz="4" w:space="0" w:color="auto"/>
            </w:tcBorders>
          </w:tcPr>
          <w:p w14:paraId="2D11C4E4" w14:textId="00BFBEEF" w:rsidR="00FF5D18" w:rsidRPr="0033055B" w:rsidRDefault="00FF5D18" w:rsidP="00FF5D18">
            <w:pPr>
              <w:jc w:val="center"/>
              <w:rPr>
                <w:rFonts w:ascii="Calibri" w:eastAsia="Calibri" w:hAnsi="Calibri"/>
              </w:rPr>
            </w:pPr>
            <w:r>
              <w:t>28.7</w:t>
            </w:r>
          </w:p>
        </w:tc>
        <w:tc>
          <w:tcPr>
            <w:tcW w:w="1006" w:type="dxa"/>
            <w:tcBorders>
              <w:top w:val="single" w:sz="4" w:space="0" w:color="auto"/>
              <w:left w:val="single" w:sz="4" w:space="0" w:color="auto"/>
              <w:bottom w:val="single" w:sz="4" w:space="0" w:color="auto"/>
              <w:right w:val="single" w:sz="4" w:space="0" w:color="auto"/>
            </w:tcBorders>
          </w:tcPr>
          <w:p w14:paraId="37DA54B2" w14:textId="570C9790" w:rsidR="00FF5D18" w:rsidRPr="0033055B" w:rsidRDefault="00FF5D18" w:rsidP="00FF5D18">
            <w:pPr>
              <w:jc w:val="center"/>
              <w:rPr>
                <w:rFonts w:ascii="Calibri" w:eastAsia="Calibri" w:hAnsi="Calibri"/>
              </w:rPr>
            </w:pPr>
            <w:r>
              <w:t>46.9</w:t>
            </w:r>
          </w:p>
        </w:tc>
        <w:tc>
          <w:tcPr>
            <w:tcW w:w="1006" w:type="dxa"/>
            <w:tcBorders>
              <w:top w:val="single" w:sz="4" w:space="0" w:color="auto"/>
              <w:left w:val="single" w:sz="4" w:space="0" w:color="auto"/>
              <w:bottom w:val="single" w:sz="4" w:space="0" w:color="auto"/>
              <w:right w:val="single" w:sz="4" w:space="0" w:color="auto"/>
            </w:tcBorders>
          </w:tcPr>
          <w:p w14:paraId="7C035DF2" w14:textId="191F46C2" w:rsidR="00FF5D18" w:rsidRPr="0033055B" w:rsidRDefault="00FF5D18" w:rsidP="00FF5D18">
            <w:pPr>
              <w:jc w:val="center"/>
              <w:rPr>
                <w:rFonts w:ascii="Calibri" w:eastAsia="Calibri" w:hAnsi="Calibri"/>
              </w:rPr>
            </w:pPr>
            <w:r>
              <w:t>59.1</w:t>
            </w:r>
          </w:p>
        </w:tc>
        <w:tc>
          <w:tcPr>
            <w:tcW w:w="1006" w:type="dxa"/>
            <w:tcBorders>
              <w:top w:val="single" w:sz="4" w:space="0" w:color="auto"/>
              <w:left w:val="single" w:sz="4" w:space="0" w:color="auto"/>
              <w:bottom w:val="single" w:sz="4" w:space="0" w:color="auto"/>
              <w:right w:val="single" w:sz="4" w:space="0" w:color="auto"/>
            </w:tcBorders>
          </w:tcPr>
          <w:p w14:paraId="6A3D4975" w14:textId="5FEA3E71" w:rsidR="00FF5D18" w:rsidRPr="0033055B" w:rsidRDefault="00FF5D18" w:rsidP="00FF5D18">
            <w:pPr>
              <w:jc w:val="center"/>
              <w:rPr>
                <w:rFonts w:ascii="Calibri" w:eastAsia="Calibri" w:hAnsi="Calibri"/>
              </w:rPr>
            </w:pPr>
            <w:r>
              <w:t>91.4</w:t>
            </w:r>
          </w:p>
        </w:tc>
      </w:tr>
      <w:tr w:rsidR="00FF5D18" w:rsidRPr="0033055B" w14:paraId="534C1283" w14:textId="18806DAD" w:rsidTr="00053368">
        <w:trPr>
          <w:trHeight w:val="76"/>
          <w:jc w:val="center"/>
        </w:trPr>
        <w:tc>
          <w:tcPr>
            <w:tcW w:w="2784" w:type="dxa"/>
            <w:tcBorders>
              <w:top w:val="single" w:sz="4" w:space="0" w:color="auto"/>
              <w:left w:val="single" w:sz="4" w:space="0" w:color="auto"/>
              <w:bottom w:val="single" w:sz="4" w:space="0" w:color="auto"/>
              <w:right w:val="single" w:sz="4" w:space="0" w:color="auto"/>
            </w:tcBorders>
            <w:noWrap/>
            <w:hideMark/>
          </w:tcPr>
          <w:p w14:paraId="021000B4" w14:textId="77777777" w:rsidR="00FF5D18" w:rsidRPr="0033055B" w:rsidRDefault="00FF5D18" w:rsidP="00FF5D18">
            <w:pPr>
              <w:rPr>
                <w:rFonts w:ascii="Calibri" w:eastAsia="Calibri" w:hAnsi="Calibri"/>
                <w:b/>
                <w:bCs/>
              </w:rPr>
            </w:pPr>
            <w:r>
              <w:rPr>
                <w:rFonts w:ascii="Calibri" w:hAnsi="Calibri"/>
                <w:b/>
                <w:bCs/>
              </w:rPr>
              <w:t>Numëruesi BRE-NeF (ktoe)</w:t>
            </w:r>
          </w:p>
        </w:tc>
        <w:tc>
          <w:tcPr>
            <w:tcW w:w="1006" w:type="dxa"/>
            <w:tcBorders>
              <w:top w:val="single" w:sz="4" w:space="0" w:color="auto"/>
              <w:left w:val="single" w:sz="4" w:space="0" w:color="auto"/>
              <w:bottom w:val="single" w:sz="4" w:space="0" w:color="auto"/>
              <w:right w:val="single" w:sz="4" w:space="0" w:color="auto"/>
            </w:tcBorders>
            <w:noWrap/>
            <w:hideMark/>
          </w:tcPr>
          <w:p w14:paraId="3AF7B7F5" w14:textId="77777777" w:rsidR="00FF5D18" w:rsidRPr="0033055B" w:rsidRDefault="00FF5D18" w:rsidP="00FF5D18">
            <w:pPr>
              <w:jc w:val="center"/>
              <w:rPr>
                <w:rFonts w:ascii="Calibri" w:eastAsia="Calibri" w:hAnsi="Calibri"/>
              </w:rPr>
            </w:pPr>
            <w:r>
              <w:rPr>
                <w:rFonts w:ascii="Calibri" w:hAnsi="Calibri"/>
              </w:rPr>
              <w:t>234.9</w:t>
            </w:r>
          </w:p>
        </w:tc>
        <w:tc>
          <w:tcPr>
            <w:tcW w:w="1005" w:type="dxa"/>
            <w:tcBorders>
              <w:top w:val="single" w:sz="4" w:space="0" w:color="auto"/>
              <w:left w:val="single" w:sz="4" w:space="0" w:color="auto"/>
              <w:bottom w:val="single" w:sz="4" w:space="0" w:color="auto"/>
              <w:right w:val="single" w:sz="4" w:space="0" w:color="auto"/>
            </w:tcBorders>
            <w:noWrap/>
            <w:hideMark/>
          </w:tcPr>
          <w:p w14:paraId="4C58FF2F" w14:textId="77777777" w:rsidR="00FF5D18" w:rsidRPr="0033055B" w:rsidRDefault="00FF5D18" w:rsidP="00FF5D18">
            <w:pPr>
              <w:jc w:val="center"/>
              <w:rPr>
                <w:rFonts w:ascii="Calibri" w:eastAsia="Calibri" w:hAnsi="Calibri"/>
              </w:rPr>
            </w:pPr>
            <w:r>
              <w:rPr>
                <w:rFonts w:ascii="Calibri" w:hAnsi="Calibri"/>
              </w:rPr>
              <w:t>236,6</w:t>
            </w:r>
          </w:p>
        </w:tc>
        <w:tc>
          <w:tcPr>
            <w:tcW w:w="1006" w:type="dxa"/>
            <w:tcBorders>
              <w:top w:val="single" w:sz="4" w:space="0" w:color="auto"/>
              <w:left w:val="single" w:sz="4" w:space="0" w:color="auto"/>
              <w:bottom w:val="single" w:sz="4" w:space="0" w:color="auto"/>
              <w:right w:val="single" w:sz="4" w:space="0" w:color="auto"/>
            </w:tcBorders>
            <w:noWrap/>
            <w:hideMark/>
          </w:tcPr>
          <w:p w14:paraId="7CAEA710" w14:textId="77777777" w:rsidR="00FF5D18" w:rsidRPr="0033055B" w:rsidRDefault="00FF5D18" w:rsidP="00FF5D18">
            <w:pPr>
              <w:jc w:val="center"/>
              <w:rPr>
                <w:rFonts w:ascii="Calibri" w:eastAsia="Calibri" w:hAnsi="Calibri"/>
              </w:rPr>
            </w:pPr>
            <w:r>
              <w:rPr>
                <w:rFonts w:ascii="Calibri" w:hAnsi="Calibri"/>
              </w:rPr>
              <w:t>263,8</w:t>
            </w:r>
          </w:p>
        </w:tc>
        <w:tc>
          <w:tcPr>
            <w:tcW w:w="1006" w:type="dxa"/>
            <w:tcBorders>
              <w:top w:val="single" w:sz="4" w:space="0" w:color="auto"/>
              <w:left w:val="single" w:sz="4" w:space="0" w:color="auto"/>
              <w:bottom w:val="single" w:sz="4" w:space="0" w:color="auto"/>
              <w:right w:val="single" w:sz="4" w:space="0" w:color="auto"/>
            </w:tcBorders>
          </w:tcPr>
          <w:p w14:paraId="28E74BA8" w14:textId="386A5735" w:rsidR="00FF5D18" w:rsidRPr="0033055B" w:rsidRDefault="00FF5D18" w:rsidP="00FF5D18">
            <w:pPr>
              <w:jc w:val="center"/>
              <w:rPr>
                <w:rFonts w:ascii="Calibri" w:eastAsia="Calibri" w:hAnsi="Calibri"/>
              </w:rPr>
            </w:pPr>
            <w:r>
              <w:t>263.8</w:t>
            </w:r>
          </w:p>
        </w:tc>
        <w:tc>
          <w:tcPr>
            <w:tcW w:w="1006" w:type="dxa"/>
            <w:tcBorders>
              <w:top w:val="single" w:sz="4" w:space="0" w:color="auto"/>
              <w:left w:val="single" w:sz="4" w:space="0" w:color="auto"/>
              <w:bottom w:val="single" w:sz="4" w:space="0" w:color="auto"/>
              <w:right w:val="single" w:sz="4" w:space="0" w:color="auto"/>
            </w:tcBorders>
          </w:tcPr>
          <w:p w14:paraId="2E7797F7" w14:textId="62A06425" w:rsidR="00FF5D18" w:rsidRPr="0033055B" w:rsidRDefault="00FF5D18" w:rsidP="00FF5D18">
            <w:pPr>
              <w:jc w:val="center"/>
              <w:rPr>
                <w:rFonts w:ascii="Calibri" w:eastAsia="Calibri" w:hAnsi="Calibri"/>
              </w:rPr>
            </w:pPr>
            <w:r>
              <w:t>263.8</w:t>
            </w:r>
          </w:p>
        </w:tc>
        <w:tc>
          <w:tcPr>
            <w:tcW w:w="1006" w:type="dxa"/>
            <w:tcBorders>
              <w:top w:val="single" w:sz="4" w:space="0" w:color="auto"/>
              <w:left w:val="single" w:sz="4" w:space="0" w:color="auto"/>
              <w:bottom w:val="single" w:sz="4" w:space="0" w:color="auto"/>
              <w:right w:val="single" w:sz="4" w:space="0" w:color="auto"/>
            </w:tcBorders>
          </w:tcPr>
          <w:p w14:paraId="0AA50180" w14:textId="3E2EBBC1" w:rsidR="00FF5D18" w:rsidRPr="0033055B" w:rsidRDefault="00FF5D18" w:rsidP="00FF5D18">
            <w:pPr>
              <w:jc w:val="center"/>
              <w:rPr>
                <w:rFonts w:ascii="Calibri" w:eastAsia="Calibri" w:hAnsi="Calibri"/>
              </w:rPr>
            </w:pPr>
            <w:r>
              <w:t>272.7</w:t>
            </w:r>
          </w:p>
        </w:tc>
        <w:tc>
          <w:tcPr>
            <w:tcW w:w="1006" w:type="dxa"/>
            <w:tcBorders>
              <w:top w:val="single" w:sz="4" w:space="0" w:color="auto"/>
              <w:left w:val="single" w:sz="4" w:space="0" w:color="auto"/>
              <w:bottom w:val="single" w:sz="4" w:space="0" w:color="auto"/>
              <w:right w:val="single" w:sz="4" w:space="0" w:color="auto"/>
            </w:tcBorders>
          </w:tcPr>
          <w:p w14:paraId="0AD77894" w14:textId="21E5AC90" w:rsidR="00FF5D18" w:rsidRPr="0033055B" w:rsidRDefault="00FF5D18" w:rsidP="00FF5D18">
            <w:pPr>
              <w:jc w:val="center"/>
              <w:rPr>
                <w:rFonts w:ascii="Calibri" w:eastAsia="Calibri" w:hAnsi="Calibri"/>
              </w:rPr>
            </w:pPr>
            <w:r>
              <w:t>281.7</w:t>
            </w:r>
          </w:p>
        </w:tc>
        <w:tc>
          <w:tcPr>
            <w:tcW w:w="1006" w:type="dxa"/>
            <w:tcBorders>
              <w:top w:val="single" w:sz="4" w:space="0" w:color="auto"/>
              <w:left w:val="single" w:sz="4" w:space="0" w:color="auto"/>
              <w:bottom w:val="single" w:sz="4" w:space="0" w:color="auto"/>
              <w:right w:val="single" w:sz="4" w:space="0" w:color="auto"/>
            </w:tcBorders>
          </w:tcPr>
          <w:p w14:paraId="1A732CF5" w14:textId="0319D4CD" w:rsidR="00FF5D18" w:rsidRPr="0033055B" w:rsidRDefault="00FF5D18" w:rsidP="00FF5D18">
            <w:pPr>
              <w:jc w:val="center"/>
              <w:rPr>
                <w:rFonts w:ascii="Calibri" w:eastAsia="Calibri" w:hAnsi="Calibri"/>
              </w:rPr>
            </w:pPr>
            <w:r>
              <w:t>303.6</w:t>
            </w:r>
          </w:p>
        </w:tc>
      </w:tr>
      <w:tr w:rsidR="00FF5D18" w:rsidRPr="0033055B" w14:paraId="4C11E2EF" w14:textId="14A8B165" w:rsidTr="00053368">
        <w:trPr>
          <w:trHeight w:val="85"/>
          <w:jc w:val="center"/>
        </w:trPr>
        <w:tc>
          <w:tcPr>
            <w:tcW w:w="2784" w:type="dxa"/>
            <w:tcBorders>
              <w:top w:val="single" w:sz="4" w:space="0" w:color="auto"/>
              <w:left w:val="single" w:sz="4" w:space="0" w:color="auto"/>
              <w:bottom w:val="single" w:sz="4" w:space="0" w:color="auto"/>
              <w:right w:val="single" w:sz="4" w:space="0" w:color="auto"/>
            </w:tcBorders>
            <w:noWrap/>
            <w:hideMark/>
          </w:tcPr>
          <w:p w14:paraId="286F159D" w14:textId="77777777" w:rsidR="00FF5D18" w:rsidRPr="0033055B" w:rsidRDefault="00FF5D18" w:rsidP="00FF5D18">
            <w:pPr>
              <w:rPr>
                <w:rFonts w:ascii="Calibri" w:eastAsia="Calibri" w:hAnsi="Calibri"/>
                <w:b/>
                <w:bCs/>
              </w:rPr>
            </w:pPr>
            <w:r>
              <w:rPr>
                <w:rFonts w:ascii="Calibri" w:hAnsi="Calibri"/>
                <w:b/>
                <w:bCs/>
              </w:rPr>
              <w:t>Numëruesi BRE-T (ktoe)</w:t>
            </w:r>
          </w:p>
        </w:tc>
        <w:tc>
          <w:tcPr>
            <w:tcW w:w="1006" w:type="dxa"/>
            <w:tcBorders>
              <w:top w:val="single" w:sz="4" w:space="0" w:color="auto"/>
              <w:left w:val="single" w:sz="4" w:space="0" w:color="auto"/>
              <w:bottom w:val="single" w:sz="4" w:space="0" w:color="auto"/>
              <w:right w:val="single" w:sz="4" w:space="0" w:color="auto"/>
            </w:tcBorders>
            <w:noWrap/>
            <w:hideMark/>
          </w:tcPr>
          <w:p w14:paraId="489D02B3" w14:textId="77777777" w:rsidR="00FF5D18" w:rsidRPr="0033055B" w:rsidRDefault="00FF5D18" w:rsidP="00FF5D18">
            <w:pPr>
              <w:jc w:val="center"/>
              <w:rPr>
                <w:rFonts w:ascii="Calibri" w:eastAsia="Calibri" w:hAnsi="Calibri"/>
              </w:rPr>
            </w:pPr>
            <w:r>
              <w:rPr>
                <w:rFonts w:ascii="Calibri" w:hAnsi="Calibri"/>
              </w:rPr>
              <w:t>0.0</w:t>
            </w:r>
          </w:p>
        </w:tc>
        <w:tc>
          <w:tcPr>
            <w:tcW w:w="1005" w:type="dxa"/>
            <w:tcBorders>
              <w:top w:val="single" w:sz="4" w:space="0" w:color="auto"/>
              <w:left w:val="single" w:sz="4" w:space="0" w:color="auto"/>
              <w:bottom w:val="single" w:sz="4" w:space="0" w:color="auto"/>
              <w:right w:val="single" w:sz="4" w:space="0" w:color="auto"/>
            </w:tcBorders>
            <w:noWrap/>
            <w:hideMark/>
          </w:tcPr>
          <w:p w14:paraId="4A7D5EA0" w14:textId="77777777" w:rsidR="00FF5D18" w:rsidRPr="0033055B" w:rsidRDefault="00FF5D18" w:rsidP="00FF5D18">
            <w:pPr>
              <w:jc w:val="center"/>
              <w:rPr>
                <w:rFonts w:ascii="Calibri" w:eastAsia="Calibri" w:hAnsi="Calibri"/>
              </w:rPr>
            </w:pPr>
            <w:r>
              <w:rPr>
                <w:rFonts w:ascii="Calibri" w:hAnsi="Calibri"/>
              </w:rPr>
              <w:t>0.0</w:t>
            </w:r>
          </w:p>
        </w:tc>
        <w:tc>
          <w:tcPr>
            <w:tcW w:w="1006" w:type="dxa"/>
            <w:tcBorders>
              <w:top w:val="single" w:sz="4" w:space="0" w:color="auto"/>
              <w:left w:val="single" w:sz="4" w:space="0" w:color="auto"/>
              <w:bottom w:val="single" w:sz="4" w:space="0" w:color="auto"/>
              <w:right w:val="single" w:sz="4" w:space="0" w:color="auto"/>
            </w:tcBorders>
            <w:noWrap/>
            <w:hideMark/>
          </w:tcPr>
          <w:p w14:paraId="17F278D3" w14:textId="77777777" w:rsidR="00FF5D18" w:rsidRPr="0033055B" w:rsidRDefault="00FF5D18" w:rsidP="00FF5D18">
            <w:pPr>
              <w:jc w:val="center"/>
              <w:rPr>
                <w:rFonts w:ascii="Calibri" w:eastAsia="Calibri" w:hAnsi="Calibri"/>
              </w:rPr>
            </w:pPr>
            <w:r>
              <w:rPr>
                <w:rFonts w:ascii="Calibri" w:hAnsi="Calibri"/>
              </w:rPr>
              <w:t>0.0</w:t>
            </w:r>
          </w:p>
        </w:tc>
        <w:tc>
          <w:tcPr>
            <w:tcW w:w="1006" w:type="dxa"/>
            <w:tcBorders>
              <w:top w:val="single" w:sz="4" w:space="0" w:color="auto"/>
              <w:left w:val="single" w:sz="4" w:space="0" w:color="auto"/>
              <w:bottom w:val="single" w:sz="4" w:space="0" w:color="auto"/>
              <w:right w:val="single" w:sz="4" w:space="0" w:color="auto"/>
            </w:tcBorders>
          </w:tcPr>
          <w:p w14:paraId="6DC7DCA0" w14:textId="110570B3" w:rsidR="00FF5D18" w:rsidRPr="0033055B" w:rsidRDefault="00FF5D18" w:rsidP="00FF5D18">
            <w:pPr>
              <w:jc w:val="center"/>
              <w:rPr>
                <w:rFonts w:ascii="Calibri" w:eastAsia="Calibri" w:hAnsi="Calibri"/>
              </w:rPr>
            </w:pPr>
            <w:r>
              <w:t>0.0</w:t>
            </w:r>
          </w:p>
        </w:tc>
        <w:tc>
          <w:tcPr>
            <w:tcW w:w="1006" w:type="dxa"/>
            <w:tcBorders>
              <w:top w:val="single" w:sz="4" w:space="0" w:color="auto"/>
              <w:left w:val="single" w:sz="4" w:space="0" w:color="auto"/>
              <w:bottom w:val="single" w:sz="4" w:space="0" w:color="auto"/>
              <w:right w:val="single" w:sz="4" w:space="0" w:color="auto"/>
            </w:tcBorders>
          </w:tcPr>
          <w:p w14:paraId="4EA0168D" w14:textId="18C14DA9" w:rsidR="00FF5D18" w:rsidRPr="0033055B" w:rsidRDefault="00FF5D18" w:rsidP="00FF5D18">
            <w:pPr>
              <w:jc w:val="center"/>
              <w:rPr>
                <w:rFonts w:ascii="Calibri" w:eastAsia="Calibri" w:hAnsi="Calibri"/>
              </w:rPr>
            </w:pPr>
            <w:r>
              <w:t>0.0</w:t>
            </w:r>
          </w:p>
        </w:tc>
        <w:tc>
          <w:tcPr>
            <w:tcW w:w="1006" w:type="dxa"/>
            <w:tcBorders>
              <w:top w:val="single" w:sz="4" w:space="0" w:color="auto"/>
              <w:left w:val="single" w:sz="4" w:space="0" w:color="auto"/>
              <w:bottom w:val="single" w:sz="4" w:space="0" w:color="auto"/>
              <w:right w:val="single" w:sz="4" w:space="0" w:color="auto"/>
            </w:tcBorders>
          </w:tcPr>
          <w:p w14:paraId="1BDCC0FD" w14:textId="4ACD1393" w:rsidR="00FF5D18" w:rsidRPr="0033055B" w:rsidRDefault="00FF5D18" w:rsidP="00FF5D18">
            <w:pPr>
              <w:jc w:val="center"/>
              <w:rPr>
                <w:rFonts w:ascii="Calibri" w:eastAsia="Calibri" w:hAnsi="Calibri"/>
              </w:rPr>
            </w:pPr>
            <w:r>
              <w:t>7.7</w:t>
            </w:r>
          </w:p>
        </w:tc>
        <w:tc>
          <w:tcPr>
            <w:tcW w:w="1006" w:type="dxa"/>
            <w:tcBorders>
              <w:top w:val="single" w:sz="4" w:space="0" w:color="auto"/>
              <w:left w:val="single" w:sz="4" w:space="0" w:color="auto"/>
              <w:bottom w:val="single" w:sz="4" w:space="0" w:color="auto"/>
              <w:right w:val="single" w:sz="4" w:space="0" w:color="auto"/>
            </w:tcBorders>
          </w:tcPr>
          <w:p w14:paraId="42DEB1D8" w14:textId="3874DDAC" w:rsidR="00FF5D18" w:rsidRPr="0033055B" w:rsidRDefault="00FF5D18" w:rsidP="00FF5D18">
            <w:pPr>
              <w:jc w:val="center"/>
              <w:rPr>
                <w:rFonts w:ascii="Calibri" w:eastAsia="Calibri" w:hAnsi="Calibri"/>
              </w:rPr>
            </w:pPr>
            <w:r>
              <w:t>19.5</w:t>
            </w:r>
          </w:p>
        </w:tc>
        <w:tc>
          <w:tcPr>
            <w:tcW w:w="1006" w:type="dxa"/>
            <w:tcBorders>
              <w:top w:val="single" w:sz="4" w:space="0" w:color="auto"/>
              <w:left w:val="single" w:sz="4" w:space="0" w:color="auto"/>
              <w:bottom w:val="single" w:sz="4" w:space="0" w:color="auto"/>
              <w:right w:val="single" w:sz="4" w:space="0" w:color="auto"/>
            </w:tcBorders>
          </w:tcPr>
          <w:p w14:paraId="759241FE" w14:textId="7668DF35" w:rsidR="00FF5D18" w:rsidRPr="0033055B" w:rsidRDefault="00FF5D18" w:rsidP="00FF5D18">
            <w:pPr>
              <w:jc w:val="center"/>
              <w:rPr>
                <w:rFonts w:ascii="Calibri" w:eastAsia="Calibri" w:hAnsi="Calibri"/>
              </w:rPr>
            </w:pPr>
            <w:r>
              <w:t>39.7</w:t>
            </w:r>
          </w:p>
        </w:tc>
      </w:tr>
      <w:tr w:rsidR="00FF5D18" w:rsidRPr="0033055B" w14:paraId="049F9127" w14:textId="6AD15ABC" w:rsidTr="00053368">
        <w:trPr>
          <w:trHeight w:val="103"/>
          <w:jc w:val="center"/>
        </w:trPr>
        <w:tc>
          <w:tcPr>
            <w:tcW w:w="2784" w:type="dxa"/>
            <w:tcBorders>
              <w:top w:val="single" w:sz="4" w:space="0" w:color="auto"/>
              <w:left w:val="single" w:sz="4" w:space="0" w:color="auto"/>
              <w:bottom w:val="single" w:sz="4" w:space="0" w:color="auto"/>
              <w:right w:val="single" w:sz="4" w:space="0" w:color="auto"/>
            </w:tcBorders>
            <w:noWrap/>
            <w:hideMark/>
          </w:tcPr>
          <w:p w14:paraId="653BD213" w14:textId="77777777" w:rsidR="00FF5D18" w:rsidRPr="0033055B" w:rsidRDefault="00FF5D18" w:rsidP="00FF5D18">
            <w:pPr>
              <w:rPr>
                <w:rFonts w:ascii="Calibri" w:eastAsia="Calibri" w:hAnsi="Calibri"/>
                <w:b/>
                <w:bCs/>
              </w:rPr>
            </w:pPr>
            <w:r>
              <w:rPr>
                <w:rFonts w:ascii="Calibri" w:hAnsi="Calibri"/>
                <w:b/>
                <w:bCs/>
              </w:rPr>
              <w:t>Gjithsej Numëruesi BRE Total (ktoe)</w:t>
            </w:r>
          </w:p>
        </w:tc>
        <w:tc>
          <w:tcPr>
            <w:tcW w:w="1006" w:type="dxa"/>
            <w:tcBorders>
              <w:top w:val="single" w:sz="4" w:space="0" w:color="auto"/>
              <w:left w:val="single" w:sz="4" w:space="0" w:color="auto"/>
              <w:bottom w:val="single" w:sz="4" w:space="0" w:color="auto"/>
              <w:right w:val="single" w:sz="4" w:space="0" w:color="auto"/>
            </w:tcBorders>
            <w:noWrap/>
            <w:hideMark/>
          </w:tcPr>
          <w:p w14:paraId="42F70848" w14:textId="77777777" w:rsidR="00FF5D18" w:rsidRPr="0033055B" w:rsidRDefault="00FF5D18" w:rsidP="00FF5D18">
            <w:pPr>
              <w:jc w:val="center"/>
              <w:rPr>
                <w:rFonts w:ascii="Calibri" w:eastAsia="Calibri" w:hAnsi="Calibri"/>
              </w:rPr>
            </w:pPr>
            <w:r>
              <w:rPr>
                <w:rFonts w:ascii="Calibri" w:hAnsi="Calibri"/>
              </w:rPr>
              <w:t>240.3</w:t>
            </w:r>
          </w:p>
        </w:tc>
        <w:tc>
          <w:tcPr>
            <w:tcW w:w="1005" w:type="dxa"/>
            <w:tcBorders>
              <w:top w:val="single" w:sz="4" w:space="0" w:color="auto"/>
              <w:left w:val="single" w:sz="4" w:space="0" w:color="auto"/>
              <w:bottom w:val="single" w:sz="4" w:space="0" w:color="auto"/>
              <w:right w:val="single" w:sz="4" w:space="0" w:color="auto"/>
            </w:tcBorders>
            <w:noWrap/>
            <w:hideMark/>
          </w:tcPr>
          <w:p w14:paraId="1A0582C8" w14:textId="77777777" w:rsidR="00FF5D18" w:rsidRPr="0033055B" w:rsidRDefault="00FF5D18" w:rsidP="00FF5D18">
            <w:pPr>
              <w:jc w:val="center"/>
              <w:rPr>
                <w:rFonts w:ascii="Calibri" w:eastAsia="Calibri" w:hAnsi="Calibri"/>
              </w:rPr>
            </w:pPr>
            <w:r>
              <w:rPr>
                <w:rFonts w:ascii="Calibri" w:hAnsi="Calibri"/>
              </w:rPr>
              <w:t>243.1</w:t>
            </w:r>
          </w:p>
        </w:tc>
        <w:tc>
          <w:tcPr>
            <w:tcW w:w="1006" w:type="dxa"/>
            <w:tcBorders>
              <w:top w:val="single" w:sz="4" w:space="0" w:color="auto"/>
              <w:left w:val="single" w:sz="4" w:space="0" w:color="auto"/>
              <w:bottom w:val="single" w:sz="4" w:space="0" w:color="auto"/>
              <w:right w:val="single" w:sz="4" w:space="0" w:color="auto"/>
            </w:tcBorders>
            <w:noWrap/>
            <w:hideMark/>
          </w:tcPr>
          <w:p w14:paraId="247DAE97" w14:textId="77777777" w:rsidR="00FF5D18" w:rsidRPr="0033055B" w:rsidRDefault="00FF5D18" w:rsidP="00FF5D18">
            <w:pPr>
              <w:jc w:val="center"/>
              <w:rPr>
                <w:rFonts w:ascii="Calibri" w:eastAsia="Calibri" w:hAnsi="Calibri"/>
              </w:rPr>
            </w:pPr>
            <w:r>
              <w:rPr>
                <w:rFonts w:ascii="Calibri" w:hAnsi="Calibri"/>
              </w:rPr>
              <w:t>273.6</w:t>
            </w:r>
          </w:p>
        </w:tc>
        <w:tc>
          <w:tcPr>
            <w:tcW w:w="1006" w:type="dxa"/>
            <w:tcBorders>
              <w:top w:val="single" w:sz="4" w:space="0" w:color="auto"/>
              <w:left w:val="single" w:sz="4" w:space="0" w:color="auto"/>
              <w:bottom w:val="single" w:sz="4" w:space="0" w:color="auto"/>
              <w:right w:val="single" w:sz="4" w:space="0" w:color="auto"/>
            </w:tcBorders>
          </w:tcPr>
          <w:p w14:paraId="57E21780" w14:textId="3047D849" w:rsidR="00FF5D18" w:rsidRPr="0033055B" w:rsidRDefault="00FF5D18" w:rsidP="00FF5D18">
            <w:pPr>
              <w:jc w:val="center"/>
              <w:rPr>
                <w:rFonts w:ascii="Calibri" w:eastAsia="Calibri" w:hAnsi="Calibri"/>
              </w:rPr>
            </w:pPr>
            <w:r>
              <w:t>292.4</w:t>
            </w:r>
          </w:p>
        </w:tc>
        <w:tc>
          <w:tcPr>
            <w:tcW w:w="1006" w:type="dxa"/>
            <w:tcBorders>
              <w:top w:val="single" w:sz="4" w:space="0" w:color="auto"/>
              <w:left w:val="single" w:sz="4" w:space="0" w:color="auto"/>
              <w:bottom w:val="single" w:sz="4" w:space="0" w:color="auto"/>
              <w:right w:val="single" w:sz="4" w:space="0" w:color="auto"/>
            </w:tcBorders>
          </w:tcPr>
          <w:p w14:paraId="59EBB1B6" w14:textId="4F412EE0" w:rsidR="00FF5D18" w:rsidRPr="0033055B" w:rsidRDefault="00FF5D18" w:rsidP="00FF5D18">
            <w:pPr>
              <w:jc w:val="center"/>
              <w:rPr>
                <w:rFonts w:ascii="Calibri" w:eastAsia="Calibri" w:hAnsi="Calibri"/>
              </w:rPr>
            </w:pPr>
            <w:r>
              <w:t>292.4</w:t>
            </w:r>
          </w:p>
        </w:tc>
        <w:tc>
          <w:tcPr>
            <w:tcW w:w="1006" w:type="dxa"/>
            <w:tcBorders>
              <w:top w:val="single" w:sz="4" w:space="0" w:color="auto"/>
              <w:left w:val="single" w:sz="4" w:space="0" w:color="auto"/>
              <w:bottom w:val="single" w:sz="4" w:space="0" w:color="auto"/>
              <w:right w:val="single" w:sz="4" w:space="0" w:color="auto"/>
            </w:tcBorders>
          </w:tcPr>
          <w:p w14:paraId="1BE4D95C" w14:textId="12B036B9" w:rsidR="00FF5D18" w:rsidRPr="0033055B" w:rsidRDefault="00FF5D18" w:rsidP="00FF5D18">
            <w:pPr>
              <w:jc w:val="center"/>
              <w:rPr>
                <w:rFonts w:ascii="Calibri" w:eastAsia="Calibri" w:hAnsi="Calibri"/>
              </w:rPr>
            </w:pPr>
            <w:r>
              <w:t>327.3</w:t>
            </w:r>
          </w:p>
        </w:tc>
        <w:tc>
          <w:tcPr>
            <w:tcW w:w="1006" w:type="dxa"/>
            <w:tcBorders>
              <w:top w:val="single" w:sz="4" w:space="0" w:color="auto"/>
              <w:left w:val="single" w:sz="4" w:space="0" w:color="auto"/>
              <w:bottom w:val="single" w:sz="4" w:space="0" w:color="auto"/>
              <w:right w:val="single" w:sz="4" w:space="0" w:color="auto"/>
            </w:tcBorders>
          </w:tcPr>
          <w:p w14:paraId="26A178CD" w14:textId="0D30078A" w:rsidR="00FF5D18" w:rsidRPr="0033055B" w:rsidRDefault="00FF5D18" w:rsidP="00FF5D18">
            <w:pPr>
              <w:jc w:val="center"/>
              <w:rPr>
                <w:rFonts w:ascii="Calibri" w:eastAsia="Calibri" w:hAnsi="Calibri"/>
              </w:rPr>
            </w:pPr>
            <w:r>
              <w:t>360.4</w:t>
            </w:r>
          </w:p>
        </w:tc>
        <w:tc>
          <w:tcPr>
            <w:tcW w:w="1006" w:type="dxa"/>
            <w:tcBorders>
              <w:top w:val="single" w:sz="4" w:space="0" w:color="auto"/>
              <w:left w:val="single" w:sz="4" w:space="0" w:color="auto"/>
              <w:bottom w:val="single" w:sz="4" w:space="0" w:color="auto"/>
              <w:right w:val="single" w:sz="4" w:space="0" w:color="auto"/>
            </w:tcBorders>
          </w:tcPr>
          <w:p w14:paraId="5AAFC98D" w14:textId="069DF2AE" w:rsidR="00FF5D18" w:rsidRPr="0033055B" w:rsidRDefault="00FF5D18" w:rsidP="00FF5D18">
            <w:pPr>
              <w:jc w:val="center"/>
              <w:rPr>
                <w:rFonts w:ascii="Calibri" w:eastAsia="Calibri" w:hAnsi="Calibri"/>
              </w:rPr>
            </w:pPr>
            <w:r>
              <w:t>434.6</w:t>
            </w:r>
          </w:p>
        </w:tc>
      </w:tr>
      <w:tr w:rsidR="00FF5D18" w:rsidRPr="0033055B" w14:paraId="07B00798" w14:textId="2826F4FE" w:rsidTr="00053368">
        <w:trPr>
          <w:trHeight w:val="121"/>
          <w:jc w:val="center"/>
        </w:trPr>
        <w:tc>
          <w:tcPr>
            <w:tcW w:w="2784" w:type="dxa"/>
            <w:tcBorders>
              <w:top w:val="single" w:sz="4" w:space="0" w:color="auto"/>
              <w:left w:val="single" w:sz="4" w:space="0" w:color="auto"/>
              <w:bottom w:val="single" w:sz="4" w:space="0" w:color="auto"/>
              <w:right w:val="single" w:sz="4" w:space="0" w:color="auto"/>
            </w:tcBorders>
            <w:noWrap/>
            <w:hideMark/>
          </w:tcPr>
          <w:p w14:paraId="789044C7" w14:textId="141B4FCC" w:rsidR="00FF5D18" w:rsidRPr="0033055B" w:rsidRDefault="004547BD" w:rsidP="00FF5D18">
            <w:pPr>
              <w:rPr>
                <w:rFonts w:ascii="Calibri" w:eastAsia="Calibri" w:hAnsi="Calibri"/>
                <w:b/>
                <w:bCs/>
              </w:rPr>
            </w:pPr>
            <w:r>
              <w:rPr>
                <w:rFonts w:ascii="Calibri" w:hAnsi="Calibri"/>
                <w:b/>
                <w:bCs/>
              </w:rPr>
              <w:t xml:space="preserve">BKFE </w:t>
            </w:r>
            <w:r w:rsidR="00FF5D18">
              <w:rPr>
                <w:rFonts w:ascii="Calibri" w:hAnsi="Calibri"/>
                <w:b/>
                <w:bCs/>
              </w:rPr>
              <w:t>me korrigjim (ktoe)</w:t>
            </w:r>
          </w:p>
        </w:tc>
        <w:tc>
          <w:tcPr>
            <w:tcW w:w="1006" w:type="dxa"/>
            <w:tcBorders>
              <w:top w:val="single" w:sz="4" w:space="0" w:color="auto"/>
              <w:left w:val="single" w:sz="4" w:space="0" w:color="auto"/>
              <w:bottom w:val="single" w:sz="4" w:space="0" w:color="auto"/>
              <w:right w:val="single" w:sz="4" w:space="0" w:color="auto"/>
            </w:tcBorders>
            <w:noWrap/>
            <w:hideMark/>
          </w:tcPr>
          <w:p w14:paraId="51AB8EA9" w14:textId="77777777" w:rsidR="00FF5D18" w:rsidRPr="0033055B" w:rsidRDefault="00FF5D18" w:rsidP="00FF5D18">
            <w:pPr>
              <w:jc w:val="center"/>
              <w:rPr>
                <w:rFonts w:ascii="Calibri" w:eastAsia="Calibri" w:hAnsi="Calibri"/>
              </w:rPr>
            </w:pPr>
            <w:r>
              <w:rPr>
                <w:rFonts w:ascii="Calibri" w:hAnsi="Calibri"/>
              </w:rPr>
              <w:t>1354.3</w:t>
            </w:r>
          </w:p>
        </w:tc>
        <w:tc>
          <w:tcPr>
            <w:tcW w:w="1005" w:type="dxa"/>
            <w:tcBorders>
              <w:top w:val="single" w:sz="4" w:space="0" w:color="auto"/>
              <w:left w:val="single" w:sz="4" w:space="0" w:color="auto"/>
              <w:bottom w:val="single" w:sz="4" w:space="0" w:color="auto"/>
              <w:right w:val="single" w:sz="4" w:space="0" w:color="auto"/>
            </w:tcBorders>
            <w:noWrap/>
            <w:hideMark/>
          </w:tcPr>
          <w:p w14:paraId="3D8CD9B6" w14:textId="77777777" w:rsidR="00FF5D18" w:rsidRPr="0033055B" w:rsidRDefault="00FF5D18" w:rsidP="00FF5D18">
            <w:pPr>
              <w:jc w:val="center"/>
              <w:rPr>
                <w:rFonts w:ascii="Calibri" w:eastAsia="Calibri" w:hAnsi="Calibri"/>
              </w:rPr>
            </w:pPr>
            <w:r>
              <w:rPr>
                <w:rFonts w:ascii="Calibri" w:hAnsi="Calibri"/>
              </w:rPr>
              <w:t>1379.3</w:t>
            </w:r>
          </w:p>
        </w:tc>
        <w:tc>
          <w:tcPr>
            <w:tcW w:w="1006" w:type="dxa"/>
            <w:tcBorders>
              <w:top w:val="single" w:sz="4" w:space="0" w:color="auto"/>
              <w:left w:val="single" w:sz="4" w:space="0" w:color="auto"/>
              <w:bottom w:val="single" w:sz="4" w:space="0" w:color="auto"/>
              <w:right w:val="single" w:sz="4" w:space="0" w:color="auto"/>
            </w:tcBorders>
            <w:noWrap/>
            <w:hideMark/>
          </w:tcPr>
          <w:p w14:paraId="7EAB2B7B" w14:textId="77777777" w:rsidR="00FF5D18" w:rsidRPr="0033055B" w:rsidRDefault="00FF5D18" w:rsidP="00FF5D18">
            <w:pPr>
              <w:jc w:val="center"/>
              <w:rPr>
                <w:rFonts w:ascii="Calibri" w:eastAsia="Calibri" w:hAnsi="Calibri"/>
              </w:rPr>
            </w:pPr>
            <w:r>
              <w:rPr>
                <w:rFonts w:ascii="Calibri" w:hAnsi="Calibri"/>
              </w:rPr>
              <w:t>1522.7</w:t>
            </w:r>
          </w:p>
        </w:tc>
        <w:tc>
          <w:tcPr>
            <w:tcW w:w="1006" w:type="dxa"/>
            <w:tcBorders>
              <w:top w:val="single" w:sz="4" w:space="0" w:color="auto"/>
              <w:left w:val="single" w:sz="4" w:space="0" w:color="auto"/>
              <w:bottom w:val="single" w:sz="4" w:space="0" w:color="auto"/>
              <w:right w:val="single" w:sz="4" w:space="0" w:color="auto"/>
            </w:tcBorders>
          </w:tcPr>
          <w:p w14:paraId="4D405D32" w14:textId="7473C3DE" w:rsidR="00FF5D18" w:rsidRPr="0033055B" w:rsidRDefault="00FF5D18" w:rsidP="00FF5D18">
            <w:pPr>
              <w:jc w:val="center"/>
              <w:rPr>
                <w:rFonts w:ascii="Calibri" w:eastAsia="Calibri" w:hAnsi="Calibri"/>
              </w:rPr>
            </w:pPr>
            <w:r>
              <w:t>1,557.0</w:t>
            </w:r>
          </w:p>
        </w:tc>
        <w:tc>
          <w:tcPr>
            <w:tcW w:w="1006" w:type="dxa"/>
            <w:tcBorders>
              <w:top w:val="single" w:sz="4" w:space="0" w:color="auto"/>
              <w:left w:val="single" w:sz="4" w:space="0" w:color="auto"/>
              <w:bottom w:val="single" w:sz="4" w:space="0" w:color="auto"/>
              <w:right w:val="single" w:sz="4" w:space="0" w:color="auto"/>
            </w:tcBorders>
          </w:tcPr>
          <w:p w14:paraId="1C6F52C2" w14:textId="182E0081" w:rsidR="00FF5D18" w:rsidRPr="0033055B" w:rsidRDefault="00FF5D18" w:rsidP="00FF5D18">
            <w:pPr>
              <w:jc w:val="center"/>
              <w:rPr>
                <w:rFonts w:ascii="Calibri" w:eastAsia="Calibri" w:hAnsi="Calibri"/>
              </w:rPr>
            </w:pPr>
            <w:r>
              <w:t>1,592.0</w:t>
            </w:r>
          </w:p>
        </w:tc>
        <w:tc>
          <w:tcPr>
            <w:tcW w:w="1006" w:type="dxa"/>
            <w:tcBorders>
              <w:top w:val="single" w:sz="4" w:space="0" w:color="auto"/>
              <w:left w:val="single" w:sz="4" w:space="0" w:color="auto"/>
              <w:bottom w:val="single" w:sz="4" w:space="0" w:color="auto"/>
              <w:right w:val="single" w:sz="4" w:space="0" w:color="auto"/>
            </w:tcBorders>
          </w:tcPr>
          <w:p w14:paraId="27DF8AC6" w14:textId="37D61B39" w:rsidR="00FF5D18" w:rsidRPr="0033055B" w:rsidRDefault="00FF5D18" w:rsidP="00FF5D18">
            <w:pPr>
              <w:jc w:val="center"/>
              <w:rPr>
                <w:rFonts w:ascii="Calibri" w:eastAsia="Calibri" w:hAnsi="Calibri"/>
              </w:rPr>
            </w:pPr>
            <w:r>
              <w:t>1,629.0</w:t>
            </w:r>
          </w:p>
        </w:tc>
        <w:tc>
          <w:tcPr>
            <w:tcW w:w="1006" w:type="dxa"/>
            <w:tcBorders>
              <w:top w:val="single" w:sz="4" w:space="0" w:color="auto"/>
              <w:left w:val="single" w:sz="4" w:space="0" w:color="auto"/>
              <w:bottom w:val="single" w:sz="4" w:space="0" w:color="auto"/>
              <w:right w:val="single" w:sz="4" w:space="0" w:color="auto"/>
            </w:tcBorders>
          </w:tcPr>
          <w:p w14:paraId="7EC24CBD" w14:textId="2BDF22B0" w:rsidR="00FF5D18" w:rsidRPr="0033055B" w:rsidRDefault="00FF5D18" w:rsidP="00FF5D18">
            <w:pPr>
              <w:jc w:val="center"/>
              <w:rPr>
                <w:rFonts w:ascii="Calibri" w:eastAsia="Calibri" w:hAnsi="Calibri"/>
              </w:rPr>
            </w:pPr>
            <w:r>
              <w:t>1,694.8</w:t>
            </w:r>
          </w:p>
        </w:tc>
        <w:tc>
          <w:tcPr>
            <w:tcW w:w="1006" w:type="dxa"/>
            <w:tcBorders>
              <w:top w:val="single" w:sz="4" w:space="0" w:color="auto"/>
              <w:left w:val="single" w:sz="4" w:space="0" w:color="auto"/>
              <w:bottom w:val="single" w:sz="4" w:space="0" w:color="auto"/>
              <w:right w:val="single" w:sz="4" w:space="0" w:color="auto"/>
            </w:tcBorders>
          </w:tcPr>
          <w:p w14:paraId="74EACDC8" w14:textId="2A4290A2" w:rsidR="00FF5D18" w:rsidRPr="0033055B" w:rsidRDefault="00FF5D18" w:rsidP="00FF5D18">
            <w:pPr>
              <w:jc w:val="center"/>
              <w:rPr>
                <w:rFonts w:ascii="Calibri" w:eastAsia="Calibri" w:hAnsi="Calibri"/>
              </w:rPr>
            </w:pPr>
            <w:r>
              <w:t>1,735.9</w:t>
            </w:r>
          </w:p>
        </w:tc>
      </w:tr>
      <w:tr w:rsidR="00FF5D18" w:rsidRPr="0033055B" w14:paraId="2899CCA8" w14:textId="5CAD26BF" w:rsidTr="00053368">
        <w:trPr>
          <w:trHeight w:val="130"/>
          <w:jc w:val="center"/>
        </w:trPr>
        <w:tc>
          <w:tcPr>
            <w:tcW w:w="2784" w:type="dxa"/>
            <w:tcBorders>
              <w:top w:val="single" w:sz="4" w:space="0" w:color="auto"/>
              <w:left w:val="single" w:sz="4" w:space="0" w:color="auto"/>
              <w:bottom w:val="single" w:sz="4" w:space="0" w:color="auto"/>
              <w:right w:val="single" w:sz="4" w:space="0" w:color="auto"/>
            </w:tcBorders>
            <w:noWrap/>
            <w:hideMark/>
          </w:tcPr>
          <w:p w14:paraId="07201A14" w14:textId="77777777" w:rsidR="00FF5D18" w:rsidRPr="0033055B" w:rsidRDefault="00FF5D18" w:rsidP="00FF5D18">
            <w:pPr>
              <w:rPr>
                <w:rFonts w:ascii="Calibri" w:eastAsia="Calibri" w:hAnsi="Calibri"/>
                <w:b/>
                <w:bCs/>
              </w:rPr>
            </w:pPr>
            <w:r>
              <w:rPr>
                <w:rFonts w:ascii="Calibri" w:hAnsi="Calibri"/>
                <w:b/>
                <w:bCs/>
              </w:rPr>
              <w:t>Emëruesi BRE-E (ktoe)</w:t>
            </w:r>
          </w:p>
        </w:tc>
        <w:tc>
          <w:tcPr>
            <w:tcW w:w="1006" w:type="dxa"/>
            <w:tcBorders>
              <w:top w:val="single" w:sz="4" w:space="0" w:color="auto"/>
              <w:left w:val="single" w:sz="4" w:space="0" w:color="auto"/>
              <w:bottom w:val="single" w:sz="4" w:space="0" w:color="auto"/>
              <w:right w:val="single" w:sz="4" w:space="0" w:color="auto"/>
            </w:tcBorders>
            <w:noWrap/>
            <w:hideMark/>
          </w:tcPr>
          <w:p w14:paraId="75952C28" w14:textId="77777777" w:rsidR="00FF5D18" w:rsidRPr="0033055B" w:rsidRDefault="00FF5D18" w:rsidP="00FF5D18">
            <w:pPr>
              <w:jc w:val="center"/>
              <w:rPr>
                <w:rFonts w:ascii="Calibri" w:eastAsia="Calibri" w:hAnsi="Calibri"/>
              </w:rPr>
            </w:pPr>
            <w:r>
              <w:rPr>
                <w:rFonts w:ascii="Calibri" w:hAnsi="Calibri"/>
              </w:rPr>
              <w:t>470.3</w:t>
            </w:r>
          </w:p>
        </w:tc>
        <w:tc>
          <w:tcPr>
            <w:tcW w:w="1005" w:type="dxa"/>
            <w:tcBorders>
              <w:top w:val="single" w:sz="4" w:space="0" w:color="auto"/>
              <w:left w:val="single" w:sz="4" w:space="0" w:color="auto"/>
              <w:bottom w:val="single" w:sz="4" w:space="0" w:color="auto"/>
              <w:right w:val="single" w:sz="4" w:space="0" w:color="auto"/>
            </w:tcBorders>
            <w:noWrap/>
            <w:hideMark/>
          </w:tcPr>
          <w:p w14:paraId="76CBF1E4" w14:textId="77777777" w:rsidR="00FF5D18" w:rsidRPr="0033055B" w:rsidRDefault="00FF5D18" w:rsidP="00FF5D18">
            <w:pPr>
              <w:jc w:val="center"/>
              <w:rPr>
                <w:rFonts w:ascii="Calibri" w:eastAsia="Calibri" w:hAnsi="Calibri"/>
              </w:rPr>
            </w:pPr>
            <w:r>
              <w:rPr>
                <w:rFonts w:ascii="Calibri" w:hAnsi="Calibri"/>
              </w:rPr>
              <w:t>484.4</w:t>
            </w:r>
          </w:p>
        </w:tc>
        <w:tc>
          <w:tcPr>
            <w:tcW w:w="1006" w:type="dxa"/>
            <w:tcBorders>
              <w:top w:val="single" w:sz="4" w:space="0" w:color="auto"/>
              <w:left w:val="single" w:sz="4" w:space="0" w:color="auto"/>
              <w:bottom w:val="single" w:sz="4" w:space="0" w:color="auto"/>
              <w:right w:val="single" w:sz="4" w:space="0" w:color="auto"/>
            </w:tcBorders>
            <w:noWrap/>
            <w:hideMark/>
          </w:tcPr>
          <w:p w14:paraId="76E775A9" w14:textId="77777777" w:rsidR="00FF5D18" w:rsidRPr="0033055B" w:rsidRDefault="00FF5D18" w:rsidP="00FF5D18">
            <w:pPr>
              <w:jc w:val="center"/>
              <w:rPr>
                <w:rFonts w:ascii="Calibri" w:eastAsia="Calibri" w:hAnsi="Calibri"/>
              </w:rPr>
            </w:pPr>
            <w:r>
              <w:rPr>
                <w:rFonts w:ascii="Calibri" w:hAnsi="Calibri"/>
              </w:rPr>
              <w:t>537.4</w:t>
            </w:r>
          </w:p>
        </w:tc>
        <w:tc>
          <w:tcPr>
            <w:tcW w:w="1006" w:type="dxa"/>
            <w:tcBorders>
              <w:top w:val="single" w:sz="4" w:space="0" w:color="auto"/>
              <w:left w:val="single" w:sz="4" w:space="0" w:color="auto"/>
              <w:bottom w:val="single" w:sz="4" w:space="0" w:color="auto"/>
              <w:right w:val="single" w:sz="4" w:space="0" w:color="auto"/>
            </w:tcBorders>
          </w:tcPr>
          <w:p w14:paraId="0873355B" w14:textId="56B35065" w:rsidR="00FF5D18" w:rsidRPr="0033055B" w:rsidRDefault="00FF5D18" w:rsidP="00FF5D18">
            <w:pPr>
              <w:jc w:val="center"/>
              <w:rPr>
                <w:rFonts w:ascii="Calibri" w:eastAsia="Calibri" w:hAnsi="Calibri"/>
              </w:rPr>
            </w:pPr>
            <w:r>
              <w:t>548.4</w:t>
            </w:r>
          </w:p>
        </w:tc>
        <w:tc>
          <w:tcPr>
            <w:tcW w:w="1006" w:type="dxa"/>
            <w:tcBorders>
              <w:top w:val="single" w:sz="4" w:space="0" w:color="auto"/>
              <w:left w:val="single" w:sz="4" w:space="0" w:color="auto"/>
              <w:bottom w:val="single" w:sz="4" w:space="0" w:color="auto"/>
              <w:right w:val="single" w:sz="4" w:space="0" w:color="auto"/>
            </w:tcBorders>
          </w:tcPr>
          <w:p w14:paraId="608FB2A7" w14:textId="38201FB6" w:rsidR="00FF5D18" w:rsidRPr="0033055B" w:rsidRDefault="00FF5D18" w:rsidP="00FF5D18">
            <w:pPr>
              <w:jc w:val="center"/>
              <w:rPr>
                <w:rFonts w:ascii="Calibri" w:eastAsia="Calibri" w:hAnsi="Calibri"/>
              </w:rPr>
            </w:pPr>
            <w:r>
              <w:t>563.3</w:t>
            </w:r>
          </w:p>
        </w:tc>
        <w:tc>
          <w:tcPr>
            <w:tcW w:w="1006" w:type="dxa"/>
            <w:tcBorders>
              <w:top w:val="single" w:sz="4" w:space="0" w:color="auto"/>
              <w:left w:val="single" w:sz="4" w:space="0" w:color="auto"/>
              <w:bottom w:val="single" w:sz="4" w:space="0" w:color="auto"/>
              <w:right w:val="single" w:sz="4" w:space="0" w:color="auto"/>
            </w:tcBorders>
          </w:tcPr>
          <w:p w14:paraId="1624C93A" w14:textId="436D6DF9" w:rsidR="00FF5D18" w:rsidRPr="0033055B" w:rsidRDefault="00FF5D18" w:rsidP="00FF5D18">
            <w:pPr>
              <w:jc w:val="center"/>
              <w:rPr>
                <w:rFonts w:ascii="Calibri" w:eastAsia="Calibri" w:hAnsi="Calibri"/>
              </w:rPr>
            </w:pPr>
            <w:r>
              <w:t>574.8</w:t>
            </w:r>
          </w:p>
        </w:tc>
        <w:tc>
          <w:tcPr>
            <w:tcW w:w="1006" w:type="dxa"/>
            <w:tcBorders>
              <w:top w:val="single" w:sz="4" w:space="0" w:color="auto"/>
              <w:left w:val="single" w:sz="4" w:space="0" w:color="auto"/>
              <w:bottom w:val="single" w:sz="4" w:space="0" w:color="auto"/>
              <w:right w:val="single" w:sz="4" w:space="0" w:color="auto"/>
            </w:tcBorders>
          </w:tcPr>
          <w:p w14:paraId="470F3127" w14:textId="5820AFAA" w:rsidR="00FF5D18" w:rsidRPr="0033055B" w:rsidRDefault="00FF5D18" w:rsidP="00FF5D18">
            <w:pPr>
              <w:jc w:val="center"/>
              <w:rPr>
                <w:rFonts w:ascii="Calibri" w:eastAsia="Calibri" w:hAnsi="Calibri"/>
              </w:rPr>
            </w:pPr>
            <w:r>
              <w:t>612.6</w:t>
            </w:r>
          </w:p>
        </w:tc>
        <w:tc>
          <w:tcPr>
            <w:tcW w:w="1006" w:type="dxa"/>
            <w:tcBorders>
              <w:top w:val="single" w:sz="4" w:space="0" w:color="auto"/>
              <w:left w:val="single" w:sz="4" w:space="0" w:color="auto"/>
              <w:bottom w:val="single" w:sz="4" w:space="0" w:color="auto"/>
              <w:right w:val="single" w:sz="4" w:space="0" w:color="auto"/>
            </w:tcBorders>
          </w:tcPr>
          <w:p w14:paraId="72E93B1E" w14:textId="78FFEE29" w:rsidR="00FF5D18" w:rsidRPr="0033055B" w:rsidRDefault="00FF5D18" w:rsidP="00FF5D18">
            <w:pPr>
              <w:jc w:val="center"/>
              <w:rPr>
                <w:rFonts w:ascii="Calibri" w:eastAsia="Calibri" w:hAnsi="Calibri"/>
              </w:rPr>
            </w:pPr>
            <w:r>
              <w:t>625.5</w:t>
            </w:r>
          </w:p>
        </w:tc>
      </w:tr>
      <w:tr w:rsidR="00FF5D18" w:rsidRPr="0033055B" w14:paraId="3D2336CA" w14:textId="141D4DBF" w:rsidTr="00053368">
        <w:trPr>
          <w:trHeight w:val="70"/>
          <w:jc w:val="center"/>
        </w:trPr>
        <w:tc>
          <w:tcPr>
            <w:tcW w:w="2784" w:type="dxa"/>
            <w:tcBorders>
              <w:top w:val="single" w:sz="4" w:space="0" w:color="auto"/>
              <w:left w:val="single" w:sz="4" w:space="0" w:color="auto"/>
              <w:bottom w:val="single" w:sz="4" w:space="0" w:color="auto"/>
              <w:right w:val="single" w:sz="4" w:space="0" w:color="auto"/>
            </w:tcBorders>
            <w:noWrap/>
            <w:hideMark/>
          </w:tcPr>
          <w:p w14:paraId="2F4D110A" w14:textId="77777777" w:rsidR="00FF5D18" w:rsidRPr="0033055B" w:rsidRDefault="00FF5D18" w:rsidP="00FF5D18">
            <w:pPr>
              <w:rPr>
                <w:rFonts w:ascii="Calibri" w:eastAsia="Calibri" w:hAnsi="Calibri"/>
                <w:b/>
                <w:bCs/>
              </w:rPr>
            </w:pPr>
            <w:r>
              <w:rPr>
                <w:rFonts w:ascii="Calibri" w:hAnsi="Calibri"/>
                <w:b/>
                <w:bCs/>
              </w:rPr>
              <w:t>Emëruesi BRE-NeF (ktoe)</w:t>
            </w:r>
          </w:p>
        </w:tc>
        <w:tc>
          <w:tcPr>
            <w:tcW w:w="1006" w:type="dxa"/>
            <w:tcBorders>
              <w:top w:val="single" w:sz="4" w:space="0" w:color="auto"/>
              <w:left w:val="single" w:sz="4" w:space="0" w:color="auto"/>
              <w:bottom w:val="single" w:sz="4" w:space="0" w:color="auto"/>
              <w:right w:val="single" w:sz="4" w:space="0" w:color="auto"/>
            </w:tcBorders>
            <w:noWrap/>
            <w:hideMark/>
          </w:tcPr>
          <w:p w14:paraId="3A937577" w14:textId="77777777" w:rsidR="00FF5D18" w:rsidRPr="0033055B" w:rsidRDefault="00FF5D18" w:rsidP="00FF5D18">
            <w:pPr>
              <w:jc w:val="center"/>
              <w:rPr>
                <w:rFonts w:ascii="Calibri" w:eastAsia="Calibri" w:hAnsi="Calibri"/>
              </w:rPr>
            </w:pPr>
            <w:r>
              <w:rPr>
                <w:rFonts w:ascii="Calibri" w:hAnsi="Calibri"/>
              </w:rPr>
              <w:t>528.9</w:t>
            </w:r>
          </w:p>
        </w:tc>
        <w:tc>
          <w:tcPr>
            <w:tcW w:w="1005" w:type="dxa"/>
            <w:tcBorders>
              <w:top w:val="single" w:sz="4" w:space="0" w:color="auto"/>
              <w:left w:val="single" w:sz="4" w:space="0" w:color="auto"/>
              <w:bottom w:val="single" w:sz="4" w:space="0" w:color="auto"/>
              <w:right w:val="single" w:sz="4" w:space="0" w:color="auto"/>
            </w:tcBorders>
            <w:noWrap/>
            <w:hideMark/>
          </w:tcPr>
          <w:p w14:paraId="460E1EFC" w14:textId="77777777" w:rsidR="00FF5D18" w:rsidRPr="0033055B" w:rsidRDefault="00FF5D18" w:rsidP="00FF5D18">
            <w:pPr>
              <w:jc w:val="center"/>
              <w:rPr>
                <w:rFonts w:ascii="Calibri" w:eastAsia="Calibri" w:hAnsi="Calibri"/>
              </w:rPr>
            </w:pPr>
            <w:r>
              <w:rPr>
                <w:rFonts w:ascii="Calibri" w:hAnsi="Calibri"/>
              </w:rPr>
              <w:t>565.3</w:t>
            </w:r>
          </w:p>
        </w:tc>
        <w:tc>
          <w:tcPr>
            <w:tcW w:w="1006" w:type="dxa"/>
            <w:tcBorders>
              <w:top w:val="single" w:sz="4" w:space="0" w:color="auto"/>
              <w:left w:val="single" w:sz="4" w:space="0" w:color="auto"/>
              <w:bottom w:val="single" w:sz="4" w:space="0" w:color="auto"/>
              <w:right w:val="single" w:sz="4" w:space="0" w:color="auto"/>
            </w:tcBorders>
            <w:noWrap/>
            <w:hideMark/>
          </w:tcPr>
          <w:p w14:paraId="66F41700" w14:textId="77777777" w:rsidR="00FF5D18" w:rsidRPr="0033055B" w:rsidRDefault="00FF5D18" w:rsidP="00FF5D18">
            <w:pPr>
              <w:jc w:val="center"/>
              <w:rPr>
                <w:rFonts w:ascii="Calibri" w:eastAsia="Calibri" w:hAnsi="Calibri"/>
              </w:rPr>
            </w:pPr>
            <w:r>
              <w:rPr>
                <w:rFonts w:ascii="Calibri" w:hAnsi="Calibri"/>
              </w:rPr>
              <w:t>606.7</w:t>
            </w:r>
          </w:p>
        </w:tc>
        <w:tc>
          <w:tcPr>
            <w:tcW w:w="1006" w:type="dxa"/>
            <w:tcBorders>
              <w:top w:val="single" w:sz="4" w:space="0" w:color="auto"/>
              <w:left w:val="single" w:sz="4" w:space="0" w:color="auto"/>
              <w:bottom w:val="single" w:sz="4" w:space="0" w:color="auto"/>
              <w:right w:val="single" w:sz="4" w:space="0" w:color="auto"/>
            </w:tcBorders>
          </w:tcPr>
          <w:p w14:paraId="16266A4D" w14:textId="0D60A032" w:rsidR="00FF5D18" w:rsidRPr="0033055B" w:rsidRDefault="00FF5D18" w:rsidP="00FF5D18">
            <w:pPr>
              <w:jc w:val="center"/>
              <w:rPr>
                <w:rFonts w:ascii="Calibri" w:eastAsia="Calibri" w:hAnsi="Calibri"/>
              </w:rPr>
            </w:pPr>
            <w:r>
              <w:t>622.8</w:t>
            </w:r>
          </w:p>
        </w:tc>
        <w:tc>
          <w:tcPr>
            <w:tcW w:w="1006" w:type="dxa"/>
            <w:tcBorders>
              <w:top w:val="single" w:sz="4" w:space="0" w:color="auto"/>
              <w:left w:val="single" w:sz="4" w:space="0" w:color="auto"/>
              <w:bottom w:val="single" w:sz="4" w:space="0" w:color="auto"/>
              <w:right w:val="single" w:sz="4" w:space="0" w:color="auto"/>
            </w:tcBorders>
          </w:tcPr>
          <w:p w14:paraId="4D8A6173" w14:textId="4EEE5709" w:rsidR="00FF5D18" w:rsidRPr="0033055B" w:rsidRDefault="00FF5D18" w:rsidP="00FF5D18">
            <w:pPr>
              <w:jc w:val="center"/>
              <w:rPr>
                <w:rFonts w:ascii="Calibri" w:eastAsia="Calibri" w:hAnsi="Calibri"/>
              </w:rPr>
            </w:pPr>
            <w:r>
              <w:t>634.7</w:t>
            </w:r>
          </w:p>
        </w:tc>
        <w:tc>
          <w:tcPr>
            <w:tcW w:w="1006" w:type="dxa"/>
            <w:tcBorders>
              <w:top w:val="single" w:sz="4" w:space="0" w:color="auto"/>
              <w:left w:val="single" w:sz="4" w:space="0" w:color="auto"/>
              <w:bottom w:val="single" w:sz="4" w:space="0" w:color="auto"/>
              <w:right w:val="single" w:sz="4" w:space="0" w:color="auto"/>
            </w:tcBorders>
          </w:tcPr>
          <w:p w14:paraId="1FCF7F80" w14:textId="288DC8F1" w:rsidR="00FF5D18" w:rsidRPr="0033055B" w:rsidRDefault="00FF5D18" w:rsidP="00FF5D18">
            <w:pPr>
              <w:jc w:val="center"/>
              <w:rPr>
                <w:rFonts w:ascii="Calibri" w:eastAsia="Calibri" w:hAnsi="Calibri"/>
              </w:rPr>
            </w:pPr>
            <w:r>
              <w:t>650.7</w:t>
            </w:r>
          </w:p>
        </w:tc>
        <w:tc>
          <w:tcPr>
            <w:tcW w:w="1006" w:type="dxa"/>
            <w:tcBorders>
              <w:top w:val="single" w:sz="4" w:space="0" w:color="auto"/>
              <w:left w:val="single" w:sz="4" w:space="0" w:color="auto"/>
              <w:bottom w:val="single" w:sz="4" w:space="0" w:color="auto"/>
              <w:right w:val="single" w:sz="4" w:space="0" w:color="auto"/>
            </w:tcBorders>
          </w:tcPr>
          <w:p w14:paraId="4AB9E63D" w14:textId="626282C4" w:rsidR="00FF5D18" w:rsidRPr="0033055B" w:rsidRDefault="00FF5D18" w:rsidP="00FF5D18">
            <w:pPr>
              <w:jc w:val="center"/>
              <w:rPr>
                <w:rFonts w:ascii="Calibri" w:eastAsia="Calibri" w:hAnsi="Calibri"/>
              </w:rPr>
            </w:pPr>
            <w:r>
              <w:t>666.6</w:t>
            </w:r>
          </w:p>
        </w:tc>
        <w:tc>
          <w:tcPr>
            <w:tcW w:w="1006" w:type="dxa"/>
            <w:tcBorders>
              <w:top w:val="single" w:sz="4" w:space="0" w:color="auto"/>
              <w:left w:val="single" w:sz="4" w:space="0" w:color="auto"/>
              <w:bottom w:val="single" w:sz="4" w:space="0" w:color="auto"/>
              <w:right w:val="single" w:sz="4" w:space="0" w:color="auto"/>
            </w:tcBorders>
          </w:tcPr>
          <w:p w14:paraId="76843DBE" w14:textId="783F8266" w:rsidR="00FF5D18" w:rsidRPr="0033055B" w:rsidRDefault="00FF5D18" w:rsidP="00FF5D18">
            <w:pPr>
              <w:jc w:val="center"/>
              <w:rPr>
                <w:rFonts w:ascii="Calibri" w:eastAsia="Calibri" w:hAnsi="Calibri"/>
              </w:rPr>
            </w:pPr>
            <w:r>
              <w:t>683.2</w:t>
            </w:r>
          </w:p>
        </w:tc>
      </w:tr>
      <w:tr w:rsidR="00FF5D18" w:rsidRPr="0033055B" w14:paraId="4D793B5F" w14:textId="7B2BAF79" w:rsidTr="00053368">
        <w:trPr>
          <w:trHeight w:val="76"/>
          <w:jc w:val="center"/>
        </w:trPr>
        <w:tc>
          <w:tcPr>
            <w:tcW w:w="2784" w:type="dxa"/>
            <w:tcBorders>
              <w:top w:val="single" w:sz="4" w:space="0" w:color="auto"/>
              <w:left w:val="single" w:sz="4" w:space="0" w:color="auto"/>
              <w:bottom w:val="single" w:sz="4" w:space="0" w:color="auto"/>
              <w:right w:val="single" w:sz="4" w:space="0" w:color="auto"/>
            </w:tcBorders>
            <w:noWrap/>
            <w:hideMark/>
          </w:tcPr>
          <w:p w14:paraId="0AF9AA6B" w14:textId="77777777" w:rsidR="00FF5D18" w:rsidRPr="0033055B" w:rsidRDefault="00FF5D18" w:rsidP="00FF5D18">
            <w:pPr>
              <w:rPr>
                <w:rFonts w:ascii="Calibri" w:eastAsia="Calibri" w:hAnsi="Calibri"/>
                <w:b/>
                <w:bCs/>
              </w:rPr>
            </w:pPr>
            <w:r>
              <w:rPr>
                <w:rFonts w:ascii="Calibri" w:hAnsi="Calibri"/>
                <w:b/>
                <w:bCs/>
              </w:rPr>
              <w:t>Emëruesi BRE-T (ktoe)</w:t>
            </w:r>
          </w:p>
        </w:tc>
        <w:tc>
          <w:tcPr>
            <w:tcW w:w="1006" w:type="dxa"/>
            <w:tcBorders>
              <w:top w:val="single" w:sz="4" w:space="0" w:color="auto"/>
              <w:left w:val="single" w:sz="4" w:space="0" w:color="auto"/>
              <w:bottom w:val="single" w:sz="4" w:space="0" w:color="auto"/>
              <w:right w:val="single" w:sz="4" w:space="0" w:color="auto"/>
            </w:tcBorders>
            <w:noWrap/>
            <w:hideMark/>
          </w:tcPr>
          <w:p w14:paraId="270B85D7" w14:textId="77777777" w:rsidR="00FF5D18" w:rsidRPr="0033055B" w:rsidRDefault="00FF5D18" w:rsidP="00FF5D18">
            <w:pPr>
              <w:jc w:val="center"/>
              <w:rPr>
                <w:rFonts w:ascii="Calibri" w:eastAsia="Calibri" w:hAnsi="Calibri"/>
              </w:rPr>
            </w:pPr>
            <w:r>
              <w:rPr>
                <w:rFonts w:ascii="Calibri" w:hAnsi="Calibri"/>
              </w:rPr>
              <w:t>325.6</w:t>
            </w:r>
          </w:p>
        </w:tc>
        <w:tc>
          <w:tcPr>
            <w:tcW w:w="1005" w:type="dxa"/>
            <w:tcBorders>
              <w:top w:val="single" w:sz="4" w:space="0" w:color="auto"/>
              <w:left w:val="single" w:sz="4" w:space="0" w:color="auto"/>
              <w:bottom w:val="single" w:sz="4" w:space="0" w:color="auto"/>
              <w:right w:val="single" w:sz="4" w:space="0" w:color="auto"/>
            </w:tcBorders>
            <w:noWrap/>
            <w:hideMark/>
          </w:tcPr>
          <w:p w14:paraId="001A6113" w14:textId="77777777" w:rsidR="00FF5D18" w:rsidRPr="0033055B" w:rsidRDefault="00FF5D18" w:rsidP="00FF5D18">
            <w:pPr>
              <w:jc w:val="center"/>
              <w:rPr>
                <w:rFonts w:ascii="Calibri" w:eastAsia="Calibri" w:hAnsi="Calibri"/>
              </w:rPr>
            </w:pPr>
            <w:r>
              <w:rPr>
                <w:rFonts w:ascii="Calibri" w:hAnsi="Calibri"/>
              </w:rPr>
              <w:t>304.0</w:t>
            </w:r>
          </w:p>
        </w:tc>
        <w:tc>
          <w:tcPr>
            <w:tcW w:w="1006" w:type="dxa"/>
            <w:tcBorders>
              <w:top w:val="single" w:sz="4" w:space="0" w:color="auto"/>
              <w:left w:val="single" w:sz="4" w:space="0" w:color="auto"/>
              <w:bottom w:val="single" w:sz="4" w:space="0" w:color="auto"/>
              <w:right w:val="single" w:sz="4" w:space="0" w:color="auto"/>
            </w:tcBorders>
            <w:noWrap/>
            <w:hideMark/>
          </w:tcPr>
          <w:p w14:paraId="103146E3" w14:textId="77777777" w:rsidR="00FF5D18" w:rsidRPr="0033055B" w:rsidRDefault="00FF5D18" w:rsidP="00FF5D18">
            <w:pPr>
              <w:jc w:val="center"/>
              <w:rPr>
                <w:rFonts w:ascii="Calibri" w:eastAsia="Calibri" w:hAnsi="Calibri"/>
              </w:rPr>
            </w:pPr>
            <w:r>
              <w:rPr>
                <w:rFonts w:ascii="Calibri" w:hAnsi="Calibri"/>
              </w:rPr>
              <w:t>366.7</w:t>
            </w:r>
          </w:p>
        </w:tc>
        <w:tc>
          <w:tcPr>
            <w:tcW w:w="1006" w:type="dxa"/>
            <w:tcBorders>
              <w:top w:val="single" w:sz="4" w:space="0" w:color="auto"/>
              <w:left w:val="single" w:sz="4" w:space="0" w:color="auto"/>
              <w:bottom w:val="single" w:sz="4" w:space="0" w:color="auto"/>
              <w:right w:val="single" w:sz="4" w:space="0" w:color="auto"/>
            </w:tcBorders>
          </w:tcPr>
          <w:p w14:paraId="63374702" w14:textId="377A8428" w:rsidR="00FF5D18" w:rsidRPr="0033055B" w:rsidRDefault="00FF5D18" w:rsidP="00FF5D18">
            <w:pPr>
              <w:jc w:val="center"/>
              <w:rPr>
                <w:rFonts w:ascii="Calibri" w:eastAsia="Calibri" w:hAnsi="Calibri"/>
              </w:rPr>
            </w:pPr>
            <w:r>
              <w:t>373.8</w:t>
            </w:r>
          </w:p>
        </w:tc>
        <w:tc>
          <w:tcPr>
            <w:tcW w:w="1006" w:type="dxa"/>
            <w:tcBorders>
              <w:top w:val="single" w:sz="4" w:space="0" w:color="auto"/>
              <w:left w:val="single" w:sz="4" w:space="0" w:color="auto"/>
              <w:bottom w:val="single" w:sz="4" w:space="0" w:color="auto"/>
              <w:right w:val="single" w:sz="4" w:space="0" w:color="auto"/>
            </w:tcBorders>
          </w:tcPr>
          <w:p w14:paraId="5565153A" w14:textId="722CCB2B" w:rsidR="00FF5D18" w:rsidRPr="0033055B" w:rsidRDefault="00FF5D18" w:rsidP="00FF5D18">
            <w:pPr>
              <w:jc w:val="center"/>
              <w:rPr>
                <w:rFonts w:ascii="Calibri" w:eastAsia="Calibri" w:hAnsi="Calibri"/>
              </w:rPr>
            </w:pPr>
            <w:r>
              <w:t>376.9</w:t>
            </w:r>
          </w:p>
        </w:tc>
        <w:tc>
          <w:tcPr>
            <w:tcW w:w="1006" w:type="dxa"/>
            <w:tcBorders>
              <w:top w:val="single" w:sz="4" w:space="0" w:color="auto"/>
              <w:left w:val="single" w:sz="4" w:space="0" w:color="auto"/>
              <w:bottom w:val="single" w:sz="4" w:space="0" w:color="auto"/>
              <w:right w:val="single" w:sz="4" w:space="0" w:color="auto"/>
            </w:tcBorders>
          </w:tcPr>
          <w:p w14:paraId="203ED570" w14:textId="3B7B2C41" w:rsidR="00FF5D18" w:rsidRPr="0033055B" w:rsidRDefault="00FF5D18" w:rsidP="00FF5D18">
            <w:pPr>
              <w:jc w:val="center"/>
              <w:rPr>
                <w:rFonts w:ascii="Calibri" w:eastAsia="Calibri" w:hAnsi="Calibri"/>
              </w:rPr>
            </w:pPr>
            <w:r>
              <w:t>383.7</w:t>
            </w:r>
          </w:p>
        </w:tc>
        <w:tc>
          <w:tcPr>
            <w:tcW w:w="1006" w:type="dxa"/>
            <w:tcBorders>
              <w:top w:val="single" w:sz="4" w:space="0" w:color="auto"/>
              <w:left w:val="single" w:sz="4" w:space="0" w:color="auto"/>
              <w:bottom w:val="single" w:sz="4" w:space="0" w:color="auto"/>
              <w:right w:val="single" w:sz="4" w:space="0" w:color="auto"/>
            </w:tcBorders>
          </w:tcPr>
          <w:p w14:paraId="3CFA1138" w14:textId="7F5D885C" w:rsidR="00FF5D18" w:rsidRPr="0033055B" w:rsidRDefault="00FF5D18" w:rsidP="00FF5D18">
            <w:pPr>
              <w:jc w:val="center"/>
              <w:rPr>
                <w:rFonts w:ascii="Calibri" w:eastAsia="Calibri" w:hAnsi="Calibri"/>
              </w:rPr>
            </w:pPr>
            <w:r>
              <w:t>390.3</w:t>
            </w:r>
          </w:p>
        </w:tc>
        <w:tc>
          <w:tcPr>
            <w:tcW w:w="1006" w:type="dxa"/>
            <w:tcBorders>
              <w:top w:val="single" w:sz="4" w:space="0" w:color="auto"/>
              <w:left w:val="single" w:sz="4" w:space="0" w:color="auto"/>
              <w:bottom w:val="single" w:sz="4" w:space="0" w:color="auto"/>
              <w:right w:val="single" w:sz="4" w:space="0" w:color="auto"/>
            </w:tcBorders>
          </w:tcPr>
          <w:p w14:paraId="528661FD" w14:textId="42452DF4" w:rsidR="00FF5D18" w:rsidRPr="0033055B" w:rsidRDefault="00FF5D18" w:rsidP="00FF5D18">
            <w:pPr>
              <w:jc w:val="center"/>
              <w:rPr>
                <w:rFonts w:ascii="Calibri" w:eastAsia="Calibri" w:hAnsi="Calibri"/>
              </w:rPr>
            </w:pPr>
            <w:r>
              <w:t>396.9</w:t>
            </w:r>
          </w:p>
        </w:tc>
      </w:tr>
      <w:tr w:rsidR="00FF5D18" w:rsidRPr="0033055B" w14:paraId="2DBFAD15" w14:textId="17951E2F" w:rsidTr="00053368">
        <w:trPr>
          <w:trHeight w:val="103"/>
          <w:jc w:val="center"/>
        </w:trPr>
        <w:tc>
          <w:tcPr>
            <w:tcW w:w="2784" w:type="dxa"/>
            <w:tcBorders>
              <w:top w:val="single" w:sz="4" w:space="0" w:color="auto"/>
              <w:left w:val="single" w:sz="4" w:space="0" w:color="auto"/>
              <w:bottom w:val="single" w:sz="4" w:space="0" w:color="auto"/>
              <w:right w:val="single" w:sz="4" w:space="0" w:color="auto"/>
            </w:tcBorders>
            <w:noWrap/>
            <w:hideMark/>
          </w:tcPr>
          <w:p w14:paraId="3EE77B3C" w14:textId="77777777" w:rsidR="00FF5D18" w:rsidRPr="0033055B" w:rsidRDefault="00FF5D18" w:rsidP="00FF5D18">
            <w:pPr>
              <w:rPr>
                <w:rFonts w:ascii="Calibri" w:eastAsia="Calibri" w:hAnsi="Calibri"/>
                <w:b/>
                <w:bCs/>
              </w:rPr>
            </w:pPr>
            <w:r>
              <w:rPr>
                <w:rFonts w:ascii="Calibri" w:hAnsi="Calibri"/>
                <w:b/>
                <w:bCs/>
              </w:rPr>
              <w:t>BRE-E [%]</w:t>
            </w:r>
          </w:p>
        </w:tc>
        <w:tc>
          <w:tcPr>
            <w:tcW w:w="1006" w:type="dxa"/>
            <w:tcBorders>
              <w:top w:val="single" w:sz="4" w:space="0" w:color="auto"/>
              <w:left w:val="single" w:sz="4" w:space="0" w:color="auto"/>
              <w:bottom w:val="single" w:sz="4" w:space="0" w:color="auto"/>
              <w:right w:val="single" w:sz="4" w:space="0" w:color="auto"/>
            </w:tcBorders>
            <w:noWrap/>
            <w:hideMark/>
          </w:tcPr>
          <w:p w14:paraId="516F90D3" w14:textId="77777777" w:rsidR="00FF5D18" w:rsidRPr="0033055B" w:rsidRDefault="00FF5D18" w:rsidP="00FF5D18">
            <w:pPr>
              <w:jc w:val="center"/>
              <w:rPr>
                <w:rFonts w:ascii="Calibri" w:eastAsia="Calibri" w:hAnsi="Calibri"/>
                <w:bCs/>
              </w:rPr>
            </w:pPr>
            <w:r>
              <w:rPr>
                <w:rFonts w:ascii="Calibri" w:hAnsi="Calibri"/>
                <w:bCs/>
              </w:rPr>
              <w:t>1.1%</w:t>
            </w:r>
          </w:p>
        </w:tc>
        <w:tc>
          <w:tcPr>
            <w:tcW w:w="1005" w:type="dxa"/>
            <w:tcBorders>
              <w:top w:val="single" w:sz="4" w:space="0" w:color="auto"/>
              <w:left w:val="single" w:sz="4" w:space="0" w:color="auto"/>
              <w:bottom w:val="single" w:sz="4" w:space="0" w:color="auto"/>
              <w:right w:val="single" w:sz="4" w:space="0" w:color="auto"/>
            </w:tcBorders>
            <w:noWrap/>
            <w:hideMark/>
          </w:tcPr>
          <w:p w14:paraId="4013DB4C" w14:textId="77777777" w:rsidR="00FF5D18" w:rsidRPr="0033055B" w:rsidRDefault="00FF5D18" w:rsidP="00FF5D18">
            <w:pPr>
              <w:jc w:val="center"/>
              <w:rPr>
                <w:rFonts w:ascii="Calibri" w:eastAsia="Calibri" w:hAnsi="Calibri"/>
                <w:bCs/>
              </w:rPr>
            </w:pPr>
            <w:r>
              <w:rPr>
                <w:rFonts w:ascii="Calibri" w:hAnsi="Calibri"/>
                <w:bCs/>
              </w:rPr>
              <w:t>1.3%</w:t>
            </w:r>
          </w:p>
        </w:tc>
        <w:tc>
          <w:tcPr>
            <w:tcW w:w="1006" w:type="dxa"/>
            <w:tcBorders>
              <w:top w:val="single" w:sz="4" w:space="0" w:color="auto"/>
              <w:left w:val="single" w:sz="4" w:space="0" w:color="auto"/>
              <w:bottom w:val="single" w:sz="4" w:space="0" w:color="auto"/>
              <w:right w:val="single" w:sz="4" w:space="0" w:color="auto"/>
            </w:tcBorders>
            <w:noWrap/>
            <w:hideMark/>
          </w:tcPr>
          <w:p w14:paraId="76D3931D" w14:textId="77777777" w:rsidR="00FF5D18" w:rsidRPr="00D75714" w:rsidRDefault="00FF5D18" w:rsidP="00FF5D18">
            <w:pPr>
              <w:jc w:val="center"/>
              <w:rPr>
                <w:rFonts w:ascii="Calibri" w:eastAsia="Calibri" w:hAnsi="Calibri"/>
                <w:bCs/>
              </w:rPr>
            </w:pPr>
            <w:r>
              <w:rPr>
                <w:rFonts w:ascii="Calibri" w:hAnsi="Calibri"/>
                <w:bCs/>
              </w:rPr>
              <w:t>1.8%</w:t>
            </w:r>
          </w:p>
        </w:tc>
        <w:tc>
          <w:tcPr>
            <w:tcW w:w="1006" w:type="dxa"/>
            <w:tcBorders>
              <w:top w:val="single" w:sz="4" w:space="0" w:color="auto"/>
              <w:left w:val="single" w:sz="4" w:space="0" w:color="auto"/>
              <w:bottom w:val="single" w:sz="4" w:space="0" w:color="auto"/>
              <w:right w:val="single" w:sz="4" w:space="0" w:color="auto"/>
            </w:tcBorders>
          </w:tcPr>
          <w:p w14:paraId="1236AFA7" w14:textId="7300BF48" w:rsidR="00FF5D18" w:rsidRPr="004E5A10" w:rsidRDefault="00FF5D18" w:rsidP="00FF5D18">
            <w:pPr>
              <w:jc w:val="center"/>
              <w:rPr>
                <w:rFonts w:ascii="Calibri" w:eastAsia="Calibri" w:hAnsi="Calibri"/>
                <w:bCs/>
                <w:highlight w:val="cyan"/>
              </w:rPr>
            </w:pPr>
            <w:r>
              <w:t>5.2%</w:t>
            </w:r>
          </w:p>
        </w:tc>
        <w:tc>
          <w:tcPr>
            <w:tcW w:w="1006" w:type="dxa"/>
            <w:tcBorders>
              <w:top w:val="single" w:sz="4" w:space="0" w:color="auto"/>
              <w:left w:val="single" w:sz="4" w:space="0" w:color="auto"/>
              <w:bottom w:val="single" w:sz="4" w:space="0" w:color="auto"/>
              <w:right w:val="single" w:sz="4" w:space="0" w:color="auto"/>
            </w:tcBorders>
          </w:tcPr>
          <w:p w14:paraId="7CDBD59F" w14:textId="7EB71E98" w:rsidR="00FF5D18" w:rsidRPr="004E5A10" w:rsidRDefault="00FF5D18" w:rsidP="00FF5D18">
            <w:pPr>
              <w:jc w:val="center"/>
              <w:rPr>
                <w:rFonts w:ascii="Calibri" w:eastAsia="Calibri" w:hAnsi="Calibri"/>
                <w:bCs/>
                <w:highlight w:val="cyan"/>
              </w:rPr>
            </w:pPr>
            <w:r>
              <w:t>5.1%</w:t>
            </w:r>
          </w:p>
        </w:tc>
        <w:tc>
          <w:tcPr>
            <w:tcW w:w="1006" w:type="dxa"/>
            <w:tcBorders>
              <w:top w:val="single" w:sz="4" w:space="0" w:color="auto"/>
              <w:left w:val="single" w:sz="4" w:space="0" w:color="auto"/>
              <w:bottom w:val="single" w:sz="4" w:space="0" w:color="auto"/>
              <w:right w:val="single" w:sz="4" w:space="0" w:color="auto"/>
            </w:tcBorders>
          </w:tcPr>
          <w:p w14:paraId="77EC41B7" w14:textId="521DADB8" w:rsidR="00FF5D18" w:rsidRPr="004E5A10" w:rsidRDefault="00FF5D18" w:rsidP="00FF5D18">
            <w:pPr>
              <w:jc w:val="center"/>
              <w:rPr>
                <w:rFonts w:ascii="Calibri" w:eastAsia="Calibri" w:hAnsi="Calibri"/>
                <w:bCs/>
                <w:highlight w:val="cyan"/>
              </w:rPr>
            </w:pPr>
            <w:r>
              <w:t>8.2%</w:t>
            </w:r>
          </w:p>
        </w:tc>
        <w:tc>
          <w:tcPr>
            <w:tcW w:w="1006" w:type="dxa"/>
            <w:tcBorders>
              <w:top w:val="single" w:sz="4" w:space="0" w:color="auto"/>
              <w:left w:val="single" w:sz="4" w:space="0" w:color="auto"/>
              <w:bottom w:val="single" w:sz="4" w:space="0" w:color="auto"/>
              <w:right w:val="single" w:sz="4" w:space="0" w:color="auto"/>
            </w:tcBorders>
          </w:tcPr>
          <w:p w14:paraId="48EEE435" w14:textId="579E5976" w:rsidR="00FF5D18" w:rsidRPr="004E5A10" w:rsidRDefault="00FF5D18" w:rsidP="00FF5D18">
            <w:pPr>
              <w:jc w:val="center"/>
              <w:rPr>
                <w:rFonts w:ascii="Calibri" w:eastAsia="Calibri" w:hAnsi="Calibri"/>
                <w:bCs/>
                <w:highlight w:val="cyan"/>
              </w:rPr>
            </w:pPr>
            <w:r>
              <w:t>9.7%</w:t>
            </w:r>
          </w:p>
        </w:tc>
        <w:tc>
          <w:tcPr>
            <w:tcW w:w="1006" w:type="dxa"/>
            <w:tcBorders>
              <w:top w:val="single" w:sz="4" w:space="0" w:color="auto"/>
              <w:left w:val="single" w:sz="4" w:space="0" w:color="auto"/>
              <w:bottom w:val="single" w:sz="4" w:space="0" w:color="auto"/>
              <w:right w:val="single" w:sz="4" w:space="0" w:color="auto"/>
            </w:tcBorders>
          </w:tcPr>
          <w:p w14:paraId="685A9883" w14:textId="70DAFA1A" w:rsidR="00FF5D18" w:rsidRPr="004E5A10" w:rsidRDefault="00FF5D18" w:rsidP="00FF5D18">
            <w:pPr>
              <w:jc w:val="center"/>
              <w:rPr>
                <w:rFonts w:ascii="Calibri" w:eastAsia="Calibri" w:hAnsi="Calibri"/>
                <w:bCs/>
                <w:highlight w:val="cyan"/>
              </w:rPr>
            </w:pPr>
            <w:r>
              <w:t>14.6%</w:t>
            </w:r>
          </w:p>
        </w:tc>
      </w:tr>
      <w:tr w:rsidR="00FF5D18" w:rsidRPr="0033055B" w14:paraId="2AF2FFF7" w14:textId="5DC7DADE" w:rsidTr="00053368">
        <w:trPr>
          <w:trHeight w:val="70"/>
          <w:jc w:val="center"/>
        </w:trPr>
        <w:tc>
          <w:tcPr>
            <w:tcW w:w="2784" w:type="dxa"/>
            <w:tcBorders>
              <w:top w:val="single" w:sz="4" w:space="0" w:color="auto"/>
              <w:left w:val="single" w:sz="4" w:space="0" w:color="auto"/>
              <w:bottom w:val="single" w:sz="4" w:space="0" w:color="auto"/>
              <w:right w:val="single" w:sz="4" w:space="0" w:color="auto"/>
            </w:tcBorders>
            <w:noWrap/>
            <w:hideMark/>
          </w:tcPr>
          <w:p w14:paraId="2D5FC7AF" w14:textId="77777777" w:rsidR="00FF5D18" w:rsidRPr="0033055B" w:rsidRDefault="00FF5D18" w:rsidP="00FF5D18">
            <w:pPr>
              <w:rPr>
                <w:rFonts w:ascii="Calibri" w:eastAsia="Calibri" w:hAnsi="Calibri"/>
                <w:b/>
                <w:bCs/>
              </w:rPr>
            </w:pPr>
            <w:r>
              <w:rPr>
                <w:rFonts w:ascii="Calibri" w:hAnsi="Calibri"/>
                <w:b/>
                <w:bCs/>
              </w:rPr>
              <w:t>BRE-NeF [%]</w:t>
            </w:r>
          </w:p>
        </w:tc>
        <w:tc>
          <w:tcPr>
            <w:tcW w:w="1006" w:type="dxa"/>
            <w:tcBorders>
              <w:top w:val="single" w:sz="4" w:space="0" w:color="auto"/>
              <w:left w:val="single" w:sz="4" w:space="0" w:color="auto"/>
              <w:bottom w:val="single" w:sz="4" w:space="0" w:color="auto"/>
              <w:right w:val="single" w:sz="4" w:space="0" w:color="auto"/>
            </w:tcBorders>
            <w:noWrap/>
            <w:hideMark/>
          </w:tcPr>
          <w:p w14:paraId="4E7C623C" w14:textId="77777777" w:rsidR="00FF5D18" w:rsidRPr="0033055B" w:rsidRDefault="00FF5D18" w:rsidP="00FF5D18">
            <w:pPr>
              <w:jc w:val="center"/>
              <w:rPr>
                <w:rFonts w:ascii="Calibri" w:eastAsia="Calibri" w:hAnsi="Calibri"/>
                <w:bCs/>
              </w:rPr>
            </w:pPr>
            <w:r>
              <w:rPr>
                <w:rFonts w:ascii="Calibri" w:hAnsi="Calibri"/>
                <w:bCs/>
              </w:rPr>
              <w:t>44.4%</w:t>
            </w:r>
          </w:p>
        </w:tc>
        <w:tc>
          <w:tcPr>
            <w:tcW w:w="1005" w:type="dxa"/>
            <w:tcBorders>
              <w:top w:val="single" w:sz="4" w:space="0" w:color="auto"/>
              <w:left w:val="single" w:sz="4" w:space="0" w:color="auto"/>
              <w:bottom w:val="single" w:sz="4" w:space="0" w:color="auto"/>
              <w:right w:val="single" w:sz="4" w:space="0" w:color="auto"/>
            </w:tcBorders>
            <w:noWrap/>
            <w:hideMark/>
          </w:tcPr>
          <w:p w14:paraId="14D17396" w14:textId="77777777" w:rsidR="00FF5D18" w:rsidRPr="0033055B" w:rsidRDefault="00FF5D18" w:rsidP="00FF5D18">
            <w:pPr>
              <w:jc w:val="center"/>
              <w:rPr>
                <w:rFonts w:ascii="Calibri" w:eastAsia="Calibri" w:hAnsi="Calibri"/>
                <w:bCs/>
              </w:rPr>
            </w:pPr>
            <w:r>
              <w:rPr>
                <w:rFonts w:ascii="Calibri" w:hAnsi="Calibri"/>
                <w:bCs/>
              </w:rPr>
              <w:t>41.8%</w:t>
            </w:r>
          </w:p>
        </w:tc>
        <w:tc>
          <w:tcPr>
            <w:tcW w:w="1006" w:type="dxa"/>
            <w:tcBorders>
              <w:top w:val="single" w:sz="4" w:space="0" w:color="auto"/>
              <w:left w:val="single" w:sz="4" w:space="0" w:color="auto"/>
              <w:bottom w:val="single" w:sz="4" w:space="0" w:color="auto"/>
              <w:right w:val="single" w:sz="4" w:space="0" w:color="auto"/>
            </w:tcBorders>
            <w:noWrap/>
            <w:hideMark/>
          </w:tcPr>
          <w:p w14:paraId="6CE86837" w14:textId="77777777" w:rsidR="00FF5D18" w:rsidRPr="00D75714" w:rsidRDefault="00FF5D18" w:rsidP="00FF5D18">
            <w:pPr>
              <w:jc w:val="center"/>
              <w:rPr>
                <w:rFonts w:ascii="Calibri" w:eastAsia="Calibri" w:hAnsi="Calibri"/>
                <w:bCs/>
              </w:rPr>
            </w:pPr>
            <w:r>
              <w:rPr>
                <w:rFonts w:ascii="Calibri" w:hAnsi="Calibri"/>
                <w:bCs/>
              </w:rPr>
              <w:t>43.5%</w:t>
            </w:r>
          </w:p>
        </w:tc>
        <w:tc>
          <w:tcPr>
            <w:tcW w:w="1006" w:type="dxa"/>
            <w:tcBorders>
              <w:top w:val="single" w:sz="4" w:space="0" w:color="auto"/>
              <w:left w:val="single" w:sz="4" w:space="0" w:color="auto"/>
              <w:bottom w:val="single" w:sz="4" w:space="0" w:color="auto"/>
              <w:right w:val="single" w:sz="4" w:space="0" w:color="auto"/>
            </w:tcBorders>
          </w:tcPr>
          <w:p w14:paraId="4E20BAA4" w14:textId="1BB9A96A" w:rsidR="00FF5D18" w:rsidRPr="004E5A10" w:rsidRDefault="00FF5D18" w:rsidP="00FF5D18">
            <w:pPr>
              <w:jc w:val="center"/>
              <w:rPr>
                <w:rFonts w:ascii="Calibri" w:eastAsia="Calibri" w:hAnsi="Calibri"/>
                <w:bCs/>
                <w:highlight w:val="yellow"/>
              </w:rPr>
            </w:pPr>
            <w:r>
              <w:t>42.4%</w:t>
            </w:r>
          </w:p>
        </w:tc>
        <w:tc>
          <w:tcPr>
            <w:tcW w:w="1006" w:type="dxa"/>
            <w:tcBorders>
              <w:top w:val="single" w:sz="4" w:space="0" w:color="auto"/>
              <w:left w:val="single" w:sz="4" w:space="0" w:color="auto"/>
              <w:bottom w:val="single" w:sz="4" w:space="0" w:color="auto"/>
              <w:right w:val="single" w:sz="4" w:space="0" w:color="auto"/>
            </w:tcBorders>
          </w:tcPr>
          <w:p w14:paraId="3040E826" w14:textId="3CA505A0" w:rsidR="00FF5D18" w:rsidRPr="004E5A10" w:rsidRDefault="00FF5D18" w:rsidP="00FF5D18">
            <w:pPr>
              <w:jc w:val="center"/>
              <w:rPr>
                <w:rFonts w:ascii="Calibri" w:eastAsia="Calibri" w:hAnsi="Calibri"/>
                <w:bCs/>
                <w:highlight w:val="yellow"/>
              </w:rPr>
            </w:pPr>
            <w:r>
              <w:t>41.6%</w:t>
            </w:r>
          </w:p>
        </w:tc>
        <w:tc>
          <w:tcPr>
            <w:tcW w:w="1006" w:type="dxa"/>
            <w:tcBorders>
              <w:top w:val="single" w:sz="4" w:space="0" w:color="auto"/>
              <w:left w:val="single" w:sz="4" w:space="0" w:color="auto"/>
              <w:bottom w:val="single" w:sz="4" w:space="0" w:color="auto"/>
              <w:right w:val="single" w:sz="4" w:space="0" w:color="auto"/>
            </w:tcBorders>
          </w:tcPr>
          <w:p w14:paraId="0BD61646" w14:textId="21D594DB" w:rsidR="00FF5D18" w:rsidRPr="004E5A10" w:rsidRDefault="00FF5D18" w:rsidP="00FF5D18">
            <w:pPr>
              <w:jc w:val="center"/>
              <w:rPr>
                <w:rFonts w:ascii="Calibri" w:eastAsia="Calibri" w:hAnsi="Calibri"/>
                <w:bCs/>
                <w:highlight w:val="yellow"/>
              </w:rPr>
            </w:pPr>
            <w:r>
              <w:t>41.9%</w:t>
            </w:r>
          </w:p>
        </w:tc>
        <w:tc>
          <w:tcPr>
            <w:tcW w:w="1006" w:type="dxa"/>
            <w:tcBorders>
              <w:top w:val="single" w:sz="4" w:space="0" w:color="auto"/>
              <w:left w:val="single" w:sz="4" w:space="0" w:color="auto"/>
              <w:bottom w:val="single" w:sz="4" w:space="0" w:color="auto"/>
              <w:right w:val="single" w:sz="4" w:space="0" w:color="auto"/>
            </w:tcBorders>
          </w:tcPr>
          <w:p w14:paraId="4829106C" w14:textId="19BC6536" w:rsidR="00FF5D18" w:rsidRPr="004E5A10" w:rsidRDefault="00FF5D18" w:rsidP="00FF5D18">
            <w:pPr>
              <w:jc w:val="center"/>
              <w:rPr>
                <w:rFonts w:ascii="Calibri" w:eastAsia="Calibri" w:hAnsi="Calibri"/>
                <w:bCs/>
                <w:highlight w:val="yellow"/>
              </w:rPr>
            </w:pPr>
            <w:r>
              <w:t>42.3%</w:t>
            </w:r>
          </w:p>
        </w:tc>
        <w:tc>
          <w:tcPr>
            <w:tcW w:w="1006" w:type="dxa"/>
            <w:tcBorders>
              <w:top w:val="single" w:sz="4" w:space="0" w:color="auto"/>
              <w:left w:val="single" w:sz="4" w:space="0" w:color="auto"/>
              <w:bottom w:val="single" w:sz="4" w:space="0" w:color="auto"/>
              <w:right w:val="single" w:sz="4" w:space="0" w:color="auto"/>
            </w:tcBorders>
          </w:tcPr>
          <w:p w14:paraId="03541FD1" w14:textId="6B837F50" w:rsidR="00FF5D18" w:rsidRPr="004E5A10" w:rsidRDefault="00FF5D18" w:rsidP="00FF5D18">
            <w:pPr>
              <w:jc w:val="center"/>
              <w:rPr>
                <w:rFonts w:ascii="Calibri" w:eastAsia="Calibri" w:hAnsi="Calibri"/>
                <w:bCs/>
                <w:highlight w:val="yellow"/>
              </w:rPr>
            </w:pPr>
            <w:r>
              <w:t>44.4%</w:t>
            </w:r>
          </w:p>
        </w:tc>
      </w:tr>
      <w:tr w:rsidR="00FF5D18" w:rsidRPr="0033055B" w14:paraId="3075F62B" w14:textId="272DBD37" w:rsidTr="00053368">
        <w:trPr>
          <w:trHeight w:val="70"/>
          <w:jc w:val="center"/>
        </w:trPr>
        <w:tc>
          <w:tcPr>
            <w:tcW w:w="2784" w:type="dxa"/>
            <w:tcBorders>
              <w:top w:val="single" w:sz="4" w:space="0" w:color="auto"/>
              <w:left w:val="single" w:sz="4" w:space="0" w:color="auto"/>
              <w:bottom w:val="single" w:sz="4" w:space="0" w:color="auto"/>
              <w:right w:val="single" w:sz="4" w:space="0" w:color="auto"/>
            </w:tcBorders>
            <w:noWrap/>
            <w:hideMark/>
          </w:tcPr>
          <w:p w14:paraId="4752757B" w14:textId="77777777" w:rsidR="00FF5D18" w:rsidRPr="0033055B" w:rsidRDefault="00FF5D18" w:rsidP="00FF5D18">
            <w:pPr>
              <w:rPr>
                <w:rFonts w:ascii="Calibri" w:eastAsia="Calibri" w:hAnsi="Calibri"/>
                <w:b/>
                <w:bCs/>
              </w:rPr>
            </w:pPr>
            <w:r>
              <w:rPr>
                <w:rFonts w:ascii="Calibri" w:hAnsi="Calibri"/>
                <w:b/>
                <w:bCs/>
              </w:rPr>
              <w:t>BRE-T [%]</w:t>
            </w:r>
          </w:p>
        </w:tc>
        <w:tc>
          <w:tcPr>
            <w:tcW w:w="1006" w:type="dxa"/>
            <w:tcBorders>
              <w:top w:val="single" w:sz="4" w:space="0" w:color="auto"/>
              <w:left w:val="single" w:sz="4" w:space="0" w:color="auto"/>
              <w:bottom w:val="single" w:sz="4" w:space="0" w:color="auto"/>
              <w:right w:val="single" w:sz="4" w:space="0" w:color="auto"/>
            </w:tcBorders>
            <w:noWrap/>
            <w:hideMark/>
          </w:tcPr>
          <w:p w14:paraId="4171C5DA" w14:textId="77777777" w:rsidR="00FF5D18" w:rsidRPr="0033055B" w:rsidRDefault="00FF5D18" w:rsidP="00FF5D18">
            <w:pPr>
              <w:jc w:val="center"/>
              <w:rPr>
                <w:rFonts w:ascii="Calibri" w:eastAsia="Calibri" w:hAnsi="Calibri"/>
                <w:bCs/>
              </w:rPr>
            </w:pPr>
            <w:r>
              <w:rPr>
                <w:rFonts w:ascii="Calibri" w:hAnsi="Calibri"/>
                <w:bCs/>
              </w:rPr>
              <w:t>0.0%</w:t>
            </w:r>
          </w:p>
        </w:tc>
        <w:tc>
          <w:tcPr>
            <w:tcW w:w="1005" w:type="dxa"/>
            <w:tcBorders>
              <w:top w:val="single" w:sz="4" w:space="0" w:color="auto"/>
              <w:left w:val="single" w:sz="4" w:space="0" w:color="auto"/>
              <w:bottom w:val="single" w:sz="4" w:space="0" w:color="auto"/>
              <w:right w:val="single" w:sz="4" w:space="0" w:color="auto"/>
            </w:tcBorders>
            <w:noWrap/>
            <w:hideMark/>
          </w:tcPr>
          <w:p w14:paraId="44C011B0" w14:textId="77777777" w:rsidR="00FF5D18" w:rsidRPr="0033055B" w:rsidRDefault="00FF5D18" w:rsidP="00FF5D18">
            <w:pPr>
              <w:jc w:val="center"/>
              <w:rPr>
                <w:rFonts w:ascii="Calibri" w:eastAsia="Calibri" w:hAnsi="Calibri"/>
                <w:bCs/>
              </w:rPr>
            </w:pPr>
            <w:r>
              <w:rPr>
                <w:rFonts w:ascii="Calibri" w:hAnsi="Calibri"/>
                <w:bCs/>
              </w:rPr>
              <w:t>0.0%</w:t>
            </w:r>
          </w:p>
        </w:tc>
        <w:tc>
          <w:tcPr>
            <w:tcW w:w="1006" w:type="dxa"/>
            <w:tcBorders>
              <w:top w:val="single" w:sz="4" w:space="0" w:color="auto"/>
              <w:left w:val="single" w:sz="4" w:space="0" w:color="auto"/>
              <w:bottom w:val="single" w:sz="4" w:space="0" w:color="auto"/>
              <w:right w:val="single" w:sz="4" w:space="0" w:color="auto"/>
            </w:tcBorders>
            <w:noWrap/>
            <w:hideMark/>
          </w:tcPr>
          <w:p w14:paraId="6F51CEC3" w14:textId="77777777" w:rsidR="00FF5D18" w:rsidRPr="00D75714" w:rsidRDefault="00FF5D18" w:rsidP="00FF5D18">
            <w:pPr>
              <w:jc w:val="center"/>
              <w:rPr>
                <w:rFonts w:ascii="Calibri" w:eastAsia="Calibri" w:hAnsi="Calibri"/>
                <w:bCs/>
              </w:rPr>
            </w:pPr>
            <w:r>
              <w:rPr>
                <w:rFonts w:ascii="Calibri" w:hAnsi="Calibri"/>
                <w:bCs/>
              </w:rPr>
              <w:t>0.0%</w:t>
            </w:r>
          </w:p>
        </w:tc>
        <w:tc>
          <w:tcPr>
            <w:tcW w:w="1006" w:type="dxa"/>
            <w:tcBorders>
              <w:top w:val="single" w:sz="4" w:space="0" w:color="auto"/>
              <w:left w:val="single" w:sz="4" w:space="0" w:color="auto"/>
              <w:bottom w:val="single" w:sz="4" w:space="0" w:color="auto"/>
              <w:right w:val="single" w:sz="4" w:space="0" w:color="auto"/>
            </w:tcBorders>
          </w:tcPr>
          <w:p w14:paraId="4B74AE3A" w14:textId="2EB810D5" w:rsidR="00FF5D18" w:rsidRPr="004E5A10" w:rsidRDefault="00FF5D18" w:rsidP="00FF5D18">
            <w:pPr>
              <w:jc w:val="center"/>
              <w:rPr>
                <w:rFonts w:ascii="Calibri" w:eastAsia="Calibri" w:hAnsi="Calibri"/>
                <w:bCs/>
                <w:highlight w:val="lightGray"/>
              </w:rPr>
            </w:pPr>
            <w:r>
              <w:t>0.0%</w:t>
            </w:r>
          </w:p>
        </w:tc>
        <w:tc>
          <w:tcPr>
            <w:tcW w:w="1006" w:type="dxa"/>
            <w:tcBorders>
              <w:top w:val="single" w:sz="4" w:space="0" w:color="auto"/>
              <w:left w:val="single" w:sz="4" w:space="0" w:color="auto"/>
              <w:bottom w:val="single" w:sz="4" w:space="0" w:color="auto"/>
              <w:right w:val="single" w:sz="4" w:space="0" w:color="auto"/>
            </w:tcBorders>
          </w:tcPr>
          <w:p w14:paraId="1677A17D" w14:textId="666A7D17" w:rsidR="00FF5D18" w:rsidRPr="004E5A10" w:rsidRDefault="00FF5D18" w:rsidP="00FF5D18">
            <w:pPr>
              <w:jc w:val="center"/>
              <w:rPr>
                <w:rFonts w:ascii="Calibri" w:eastAsia="Calibri" w:hAnsi="Calibri"/>
                <w:bCs/>
                <w:highlight w:val="lightGray"/>
              </w:rPr>
            </w:pPr>
            <w:r>
              <w:t>0.0%</w:t>
            </w:r>
          </w:p>
        </w:tc>
        <w:tc>
          <w:tcPr>
            <w:tcW w:w="1006" w:type="dxa"/>
            <w:tcBorders>
              <w:top w:val="single" w:sz="4" w:space="0" w:color="auto"/>
              <w:left w:val="single" w:sz="4" w:space="0" w:color="auto"/>
              <w:bottom w:val="single" w:sz="4" w:space="0" w:color="auto"/>
              <w:right w:val="single" w:sz="4" w:space="0" w:color="auto"/>
            </w:tcBorders>
          </w:tcPr>
          <w:p w14:paraId="27B52495" w14:textId="1E4DC0A9" w:rsidR="00FF5D18" w:rsidRPr="004E5A10" w:rsidRDefault="00FF5D18" w:rsidP="00FF5D18">
            <w:pPr>
              <w:jc w:val="center"/>
              <w:rPr>
                <w:rFonts w:ascii="Calibri" w:eastAsia="Calibri" w:hAnsi="Calibri"/>
                <w:bCs/>
                <w:highlight w:val="lightGray"/>
              </w:rPr>
            </w:pPr>
            <w:r>
              <w:t>2.0%</w:t>
            </w:r>
          </w:p>
        </w:tc>
        <w:tc>
          <w:tcPr>
            <w:tcW w:w="1006" w:type="dxa"/>
            <w:tcBorders>
              <w:top w:val="single" w:sz="4" w:space="0" w:color="auto"/>
              <w:left w:val="single" w:sz="4" w:space="0" w:color="auto"/>
              <w:bottom w:val="single" w:sz="4" w:space="0" w:color="auto"/>
              <w:right w:val="single" w:sz="4" w:space="0" w:color="auto"/>
            </w:tcBorders>
          </w:tcPr>
          <w:p w14:paraId="2C92447D" w14:textId="27E4DD0D" w:rsidR="00FF5D18" w:rsidRPr="004E5A10" w:rsidRDefault="00FF5D18" w:rsidP="00FF5D18">
            <w:pPr>
              <w:jc w:val="center"/>
              <w:rPr>
                <w:rFonts w:ascii="Calibri" w:eastAsia="Calibri" w:hAnsi="Calibri"/>
                <w:bCs/>
                <w:highlight w:val="lightGray"/>
              </w:rPr>
            </w:pPr>
            <w:r>
              <w:t>5.0%</w:t>
            </w:r>
          </w:p>
        </w:tc>
        <w:tc>
          <w:tcPr>
            <w:tcW w:w="1006" w:type="dxa"/>
            <w:tcBorders>
              <w:top w:val="single" w:sz="4" w:space="0" w:color="auto"/>
              <w:left w:val="single" w:sz="4" w:space="0" w:color="auto"/>
              <w:bottom w:val="single" w:sz="4" w:space="0" w:color="auto"/>
              <w:right w:val="single" w:sz="4" w:space="0" w:color="auto"/>
            </w:tcBorders>
          </w:tcPr>
          <w:p w14:paraId="5A06FD44" w14:textId="12010468" w:rsidR="00FF5D18" w:rsidRPr="004E5A10" w:rsidRDefault="00FF5D18" w:rsidP="00FF5D18">
            <w:pPr>
              <w:jc w:val="center"/>
              <w:rPr>
                <w:rFonts w:ascii="Calibri" w:eastAsia="Calibri" w:hAnsi="Calibri"/>
                <w:bCs/>
                <w:highlight w:val="lightGray"/>
              </w:rPr>
            </w:pPr>
            <w:r>
              <w:t>10.0%</w:t>
            </w:r>
          </w:p>
        </w:tc>
      </w:tr>
      <w:tr w:rsidR="00FF5D18" w:rsidRPr="0033055B" w14:paraId="31213D8E" w14:textId="187F25D7" w:rsidTr="00053368">
        <w:trPr>
          <w:trHeight w:val="70"/>
          <w:jc w:val="center"/>
        </w:trPr>
        <w:tc>
          <w:tcPr>
            <w:tcW w:w="2784" w:type="dxa"/>
            <w:tcBorders>
              <w:top w:val="single" w:sz="4" w:space="0" w:color="auto"/>
              <w:left w:val="single" w:sz="4" w:space="0" w:color="auto"/>
              <w:bottom w:val="single" w:sz="4" w:space="0" w:color="auto"/>
              <w:right w:val="single" w:sz="4" w:space="0" w:color="auto"/>
            </w:tcBorders>
            <w:noWrap/>
            <w:hideMark/>
          </w:tcPr>
          <w:p w14:paraId="387195AE" w14:textId="77777777" w:rsidR="00FF5D18" w:rsidRPr="0033055B" w:rsidRDefault="00FF5D18" w:rsidP="00FF5D18">
            <w:pPr>
              <w:rPr>
                <w:rFonts w:ascii="Calibri" w:eastAsia="Calibri" w:hAnsi="Calibri"/>
                <w:b/>
                <w:bCs/>
              </w:rPr>
            </w:pPr>
            <w:r>
              <w:rPr>
                <w:rFonts w:ascii="Calibri" w:hAnsi="Calibri"/>
                <w:b/>
                <w:bCs/>
              </w:rPr>
              <w:t>BRE-Gjithsej [%]</w:t>
            </w:r>
          </w:p>
        </w:tc>
        <w:tc>
          <w:tcPr>
            <w:tcW w:w="1006" w:type="dxa"/>
            <w:tcBorders>
              <w:top w:val="single" w:sz="4" w:space="0" w:color="auto"/>
              <w:left w:val="single" w:sz="4" w:space="0" w:color="auto"/>
              <w:bottom w:val="single" w:sz="4" w:space="0" w:color="auto"/>
              <w:right w:val="single" w:sz="4" w:space="0" w:color="auto"/>
            </w:tcBorders>
            <w:noWrap/>
            <w:hideMark/>
          </w:tcPr>
          <w:p w14:paraId="788807AE" w14:textId="77777777" w:rsidR="00FF5D18" w:rsidRPr="0033055B" w:rsidRDefault="00FF5D18" w:rsidP="00FF5D18">
            <w:pPr>
              <w:jc w:val="center"/>
              <w:rPr>
                <w:rFonts w:ascii="Calibri" w:eastAsia="Calibri" w:hAnsi="Calibri"/>
                <w:bCs/>
              </w:rPr>
            </w:pPr>
            <w:r>
              <w:rPr>
                <w:rFonts w:ascii="Calibri" w:hAnsi="Calibri"/>
                <w:bCs/>
              </w:rPr>
              <w:t>17.7%</w:t>
            </w:r>
          </w:p>
        </w:tc>
        <w:tc>
          <w:tcPr>
            <w:tcW w:w="1005" w:type="dxa"/>
            <w:tcBorders>
              <w:top w:val="single" w:sz="4" w:space="0" w:color="auto"/>
              <w:left w:val="single" w:sz="4" w:space="0" w:color="auto"/>
              <w:bottom w:val="single" w:sz="4" w:space="0" w:color="auto"/>
              <w:right w:val="single" w:sz="4" w:space="0" w:color="auto"/>
            </w:tcBorders>
            <w:noWrap/>
            <w:hideMark/>
          </w:tcPr>
          <w:p w14:paraId="159B8564" w14:textId="77777777" w:rsidR="00FF5D18" w:rsidRPr="0033055B" w:rsidRDefault="00FF5D18" w:rsidP="00FF5D18">
            <w:pPr>
              <w:jc w:val="center"/>
              <w:rPr>
                <w:rFonts w:ascii="Calibri" w:eastAsia="Calibri" w:hAnsi="Calibri"/>
                <w:bCs/>
              </w:rPr>
            </w:pPr>
            <w:r>
              <w:rPr>
                <w:rFonts w:ascii="Calibri" w:hAnsi="Calibri"/>
                <w:bCs/>
              </w:rPr>
              <w:t>17.6%</w:t>
            </w:r>
          </w:p>
        </w:tc>
        <w:tc>
          <w:tcPr>
            <w:tcW w:w="1006" w:type="dxa"/>
            <w:tcBorders>
              <w:top w:val="single" w:sz="4" w:space="0" w:color="auto"/>
              <w:left w:val="single" w:sz="4" w:space="0" w:color="auto"/>
              <w:bottom w:val="single" w:sz="4" w:space="0" w:color="auto"/>
              <w:right w:val="single" w:sz="4" w:space="0" w:color="auto"/>
            </w:tcBorders>
            <w:noWrap/>
            <w:hideMark/>
          </w:tcPr>
          <w:p w14:paraId="4E0501C2" w14:textId="77777777" w:rsidR="00FF5D18" w:rsidRPr="0033055B" w:rsidRDefault="00FF5D18" w:rsidP="00FF5D18">
            <w:pPr>
              <w:jc w:val="center"/>
              <w:rPr>
                <w:rFonts w:ascii="Calibri" w:eastAsia="Calibri" w:hAnsi="Calibri"/>
                <w:bCs/>
              </w:rPr>
            </w:pPr>
            <w:r>
              <w:rPr>
                <w:rFonts w:ascii="Calibri" w:hAnsi="Calibri"/>
                <w:bCs/>
              </w:rPr>
              <w:t>18.5%</w:t>
            </w:r>
          </w:p>
        </w:tc>
        <w:tc>
          <w:tcPr>
            <w:tcW w:w="1006" w:type="dxa"/>
            <w:tcBorders>
              <w:top w:val="single" w:sz="4" w:space="0" w:color="auto"/>
              <w:left w:val="single" w:sz="4" w:space="0" w:color="auto"/>
              <w:bottom w:val="single" w:sz="4" w:space="0" w:color="auto"/>
              <w:right w:val="single" w:sz="4" w:space="0" w:color="auto"/>
            </w:tcBorders>
          </w:tcPr>
          <w:p w14:paraId="58AE6688" w14:textId="4C12C499" w:rsidR="00FF5D18" w:rsidRPr="004E5A10" w:rsidRDefault="00FF5D18" w:rsidP="00FF5D18">
            <w:pPr>
              <w:jc w:val="center"/>
              <w:rPr>
                <w:rFonts w:ascii="Calibri" w:eastAsia="Calibri" w:hAnsi="Calibri"/>
                <w:bCs/>
                <w:highlight w:val="green"/>
              </w:rPr>
            </w:pPr>
            <w:r>
              <w:t>18.8%</w:t>
            </w:r>
          </w:p>
        </w:tc>
        <w:tc>
          <w:tcPr>
            <w:tcW w:w="1006" w:type="dxa"/>
            <w:tcBorders>
              <w:top w:val="single" w:sz="4" w:space="0" w:color="auto"/>
              <w:left w:val="single" w:sz="4" w:space="0" w:color="auto"/>
              <w:bottom w:val="single" w:sz="4" w:space="0" w:color="auto"/>
              <w:right w:val="single" w:sz="4" w:space="0" w:color="auto"/>
            </w:tcBorders>
          </w:tcPr>
          <w:p w14:paraId="36AF3E81" w14:textId="070D11FA" w:rsidR="00FF5D18" w:rsidRPr="004E5A10" w:rsidRDefault="00FF5D18" w:rsidP="00FF5D18">
            <w:pPr>
              <w:jc w:val="center"/>
              <w:rPr>
                <w:rFonts w:ascii="Calibri" w:eastAsia="Calibri" w:hAnsi="Calibri"/>
                <w:bCs/>
                <w:highlight w:val="green"/>
              </w:rPr>
            </w:pPr>
            <w:r>
              <w:t>18.4%</w:t>
            </w:r>
          </w:p>
        </w:tc>
        <w:tc>
          <w:tcPr>
            <w:tcW w:w="1006" w:type="dxa"/>
            <w:tcBorders>
              <w:top w:val="single" w:sz="4" w:space="0" w:color="auto"/>
              <w:left w:val="single" w:sz="4" w:space="0" w:color="auto"/>
              <w:bottom w:val="single" w:sz="4" w:space="0" w:color="auto"/>
              <w:right w:val="single" w:sz="4" w:space="0" w:color="auto"/>
            </w:tcBorders>
          </w:tcPr>
          <w:p w14:paraId="73AE41B0" w14:textId="1B7768FB" w:rsidR="00FF5D18" w:rsidRPr="004E5A10" w:rsidRDefault="00FF5D18" w:rsidP="00FF5D18">
            <w:pPr>
              <w:jc w:val="center"/>
              <w:rPr>
                <w:rFonts w:ascii="Calibri" w:eastAsia="Calibri" w:hAnsi="Calibri"/>
                <w:bCs/>
                <w:highlight w:val="green"/>
              </w:rPr>
            </w:pPr>
            <w:r>
              <w:t>20.1%</w:t>
            </w:r>
          </w:p>
        </w:tc>
        <w:tc>
          <w:tcPr>
            <w:tcW w:w="1006" w:type="dxa"/>
            <w:tcBorders>
              <w:top w:val="single" w:sz="4" w:space="0" w:color="auto"/>
              <w:left w:val="single" w:sz="4" w:space="0" w:color="auto"/>
              <w:bottom w:val="single" w:sz="4" w:space="0" w:color="auto"/>
              <w:right w:val="single" w:sz="4" w:space="0" w:color="auto"/>
            </w:tcBorders>
          </w:tcPr>
          <w:p w14:paraId="5D206944" w14:textId="4F0331C2" w:rsidR="00FF5D18" w:rsidRPr="004E5A10" w:rsidRDefault="00FF5D18" w:rsidP="00FF5D18">
            <w:pPr>
              <w:jc w:val="center"/>
              <w:rPr>
                <w:rFonts w:ascii="Calibri" w:eastAsia="Calibri" w:hAnsi="Calibri"/>
                <w:bCs/>
                <w:highlight w:val="green"/>
              </w:rPr>
            </w:pPr>
            <w:r>
              <w:t>21.3%</w:t>
            </w:r>
          </w:p>
        </w:tc>
        <w:tc>
          <w:tcPr>
            <w:tcW w:w="1006" w:type="dxa"/>
            <w:tcBorders>
              <w:top w:val="single" w:sz="4" w:space="0" w:color="auto"/>
              <w:left w:val="single" w:sz="4" w:space="0" w:color="auto"/>
              <w:bottom w:val="single" w:sz="4" w:space="0" w:color="auto"/>
              <w:right w:val="single" w:sz="4" w:space="0" w:color="auto"/>
            </w:tcBorders>
          </w:tcPr>
          <w:p w14:paraId="7B3EB646" w14:textId="4898D1BE" w:rsidR="00FF5D18" w:rsidRPr="004E5A10" w:rsidRDefault="00FF5D18" w:rsidP="00FF5D18">
            <w:pPr>
              <w:jc w:val="center"/>
              <w:rPr>
                <w:rFonts w:ascii="Calibri" w:eastAsia="Calibri" w:hAnsi="Calibri"/>
                <w:bCs/>
                <w:highlight w:val="green"/>
              </w:rPr>
            </w:pPr>
            <w:r>
              <w:t>25.0%</w:t>
            </w:r>
          </w:p>
        </w:tc>
      </w:tr>
    </w:tbl>
    <w:p w14:paraId="63432E66" w14:textId="77777777" w:rsidR="003B7120" w:rsidRPr="0033055B" w:rsidRDefault="003B7120" w:rsidP="003B7120">
      <w:pPr>
        <w:spacing w:line="256" w:lineRule="auto"/>
        <w:rPr>
          <w:rFonts w:ascii="Calibri" w:eastAsia="Calibri" w:hAnsi="Calibri"/>
          <w:lang w:val="en-GB"/>
        </w:rPr>
      </w:pPr>
    </w:p>
    <w:p w14:paraId="2357F9A4" w14:textId="4A41FFA3" w:rsidR="003B7120" w:rsidRPr="0033055B" w:rsidRDefault="003B7120" w:rsidP="003B7120">
      <w:pPr>
        <w:spacing w:line="256" w:lineRule="auto"/>
        <w:rPr>
          <w:rFonts w:ascii="Calibri" w:eastAsia="Calibri" w:hAnsi="Calibri"/>
        </w:rPr>
      </w:pPr>
      <w:r>
        <w:rPr>
          <w:rFonts w:ascii="Calibri" w:hAnsi="Calibri"/>
        </w:rPr>
        <w:t>Tabela 3 paraqet evoluimin e caqeve të BRE-ve nga periudha 2011-2020 në</w:t>
      </w:r>
      <w:r w:rsidR="004547BD">
        <w:rPr>
          <w:rFonts w:ascii="Calibri" w:hAnsi="Calibri"/>
        </w:rPr>
        <w:t xml:space="preserve"> pajtim me projeksionet e PKVBRE</w:t>
      </w:r>
      <w:r>
        <w:rPr>
          <w:rFonts w:ascii="Calibri" w:hAnsi="Calibri"/>
        </w:rPr>
        <w:t>-së ekzistues, të vendosur më 2013, ashtu që të kuantifikohen devijimet në krahasim me vlerësimet e Tabelës 2.</w:t>
      </w:r>
    </w:p>
    <w:p w14:paraId="0110C25A" w14:textId="0C88C4CD" w:rsidR="003B7120" w:rsidRPr="0033055B" w:rsidRDefault="003B7120" w:rsidP="003B7120">
      <w:pPr>
        <w:keepNext/>
        <w:spacing w:after="200"/>
        <w:jc w:val="center"/>
        <w:rPr>
          <w:rFonts w:ascii="Calibri" w:eastAsia="Calibri" w:hAnsi="Calibri"/>
          <w:b/>
          <w:iCs/>
        </w:rPr>
      </w:pPr>
      <w:bookmarkStart w:id="12" w:name="_Toc518377695"/>
      <w:r>
        <w:rPr>
          <w:rFonts w:ascii="Calibri" w:hAnsi="Calibri"/>
          <w:b/>
          <w:iCs/>
        </w:rPr>
        <w:t xml:space="preserve">Tabela </w:t>
      </w:r>
      <w:r w:rsidR="00724C64" w:rsidRPr="0033055B">
        <w:rPr>
          <w:rFonts w:ascii="Calibri" w:eastAsia="Calibri" w:hAnsi="Calibri"/>
          <w:b/>
          <w:iCs/>
        </w:rPr>
        <w:fldChar w:fldCharType="begin"/>
      </w:r>
      <w:r w:rsidRPr="0033055B">
        <w:rPr>
          <w:rFonts w:ascii="Calibri" w:eastAsia="Calibri" w:hAnsi="Calibri"/>
          <w:b/>
          <w:iCs/>
        </w:rPr>
        <w:instrText xml:space="preserve"> SEQ Table \* ARABIC </w:instrText>
      </w:r>
      <w:r w:rsidR="00724C64" w:rsidRPr="0033055B">
        <w:rPr>
          <w:rFonts w:ascii="Calibri" w:eastAsia="Calibri" w:hAnsi="Calibri"/>
          <w:b/>
          <w:iCs/>
        </w:rPr>
        <w:fldChar w:fldCharType="separate"/>
      </w:r>
      <w:r w:rsidR="00DC4741">
        <w:rPr>
          <w:rFonts w:ascii="Calibri" w:eastAsia="Calibri" w:hAnsi="Calibri"/>
          <w:b/>
          <w:iCs/>
          <w:noProof/>
        </w:rPr>
        <w:t>3</w:t>
      </w:r>
      <w:r w:rsidR="00724C64" w:rsidRPr="0033055B">
        <w:rPr>
          <w:rFonts w:ascii="Calibri" w:eastAsia="Calibri" w:hAnsi="Calibri"/>
          <w:b/>
          <w:iCs/>
        </w:rPr>
        <w:fldChar w:fldCharType="end"/>
      </w:r>
      <w:r>
        <w:rPr>
          <w:rFonts w:ascii="Calibri" w:hAnsi="Calibri"/>
          <w:b/>
          <w:iCs/>
        </w:rPr>
        <w:t>: Caqet e planifikuara për BRE deri më 2020.</w:t>
      </w:r>
      <w:bookmarkEnd w:id="12"/>
    </w:p>
    <w:tbl>
      <w:tblPr>
        <w:tblStyle w:val="Tabelraster1"/>
        <w:tblW w:w="10922" w:type="dxa"/>
        <w:jc w:val="center"/>
        <w:tblLayout w:type="fixed"/>
        <w:tblLook w:val="04A0" w:firstRow="1" w:lastRow="0" w:firstColumn="1" w:lastColumn="0" w:noHBand="0" w:noVBand="1"/>
      </w:tblPr>
      <w:tblGrid>
        <w:gridCol w:w="1861"/>
        <w:gridCol w:w="906"/>
        <w:gridCol w:w="906"/>
        <w:gridCol w:w="906"/>
        <w:gridCol w:w="906"/>
        <w:gridCol w:w="906"/>
        <w:gridCol w:w="906"/>
        <w:gridCol w:w="906"/>
        <w:gridCol w:w="906"/>
        <w:gridCol w:w="906"/>
        <w:gridCol w:w="907"/>
      </w:tblGrid>
      <w:tr w:rsidR="00F84AE4" w:rsidRPr="0033055B" w14:paraId="2492CBB3" w14:textId="77777777" w:rsidTr="007563F9">
        <w:trPr>
          <w:trHeight w:val="69"/>
          <w:jc w:val="center"/>
        </w:trPr>
        <w:tc>
          <w:tcPr>
            <w:tcW w:w="186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7AFCABE4" w14:textId="77777777" w:rsidR="003B7120" w:rsidRPr="0033055B" w:rsidRDefault="003B7120">
            <w:pPr>
              <w:rPr>
                <w:rFonts w:ascii="Calibri" w:eastAsia="Calibri" w:hAnsi="Calibri"/>
                <w:b/>
                <w:iCs/>
                <w:lang w:val="en-GB"/>
              </w:rPr>
            </w:pPr>
          </w:p>
        </w:tc>
        <w:tc>
          <w:tcPr>
            <w:tcW w:w="90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4A5B48AF" w14:textId="77777777" w:rsidR="003B7120" w:rsidRPr="0033055B" w:rsidRDefault="003B7120">
            <w:pPr>
              <w:jc w:val="center"/>
              <w:rPr>
                <w:rFonts w:ascii="Calibri" w:eastAsia="Calibri" w:hAnsi="Calibri" w:cs="Times New Roman"/>
                <w:b/>
                <w:bCs/>
              </w:rPr>
            </w:pPr>
            <w:r>
              <w:rPr>
                <w:rFonts w:ascii="Calibri" w:hAnsi="Calibri"/>
                <w:b/>
                <w:bCs/>
              </w:rPr>
              <w:t>2011</w:t>
            </w:r>
          </w:p>
        </w:tc>
        <w:tc>
          <w:tcPr>
            <w:tcW w:w="90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2B003485" w14:textId="77777777" w:rsidR="003B7120" w:rsidRPr="0033055B" w:rsidRDefault="003B7120">
            <w:pPr>
              <w:jc w:val="center"/>
              <w:rPr>
                <w:rFonts w:ascii="Calibri" w:eastAsia="Calibri" w:hAnsi="Calibri"/>
                <w:b/>
                <w:bCs/>
              </w:rPr>
            </w:pPr>
            <w:r>
              <w:rPr>
                <w:rFonts w:ascii="Calibri" w:hAnsi="Calibri"/>
                <w:b/>
                <w:bCs/>
              </w:rPr>
              <w:t>2012</w:t>
            </w:r>
          </w:p>
        </w:tc>
        <w:tc>
          <w:tcPr>
            <w:tcW w:w="90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41EBAF14" w14:textId="77777777" w:rsidR="003B7120" w:rsidRPr="0033055B" w:rsidRDefault="003B7120">
            <w:pPr>
              <w:jc w:val="center"/>
              <w:rPr>
                <w:rFonts w:ascii="Calibri" w:eastAsia="Calibri" w:hAnsi="Calibri"/>
                <w:b/>
                <w:bCs/>
              </w:rPr>
            </w:pPr>
            <w:r>
              <w:rPr>
                <w:rFonts w:ascii="Calibri" w:hAnsi="Calibri"/>
                <w:b/>
                <w:bCs/>
              </w:rPr>
              <w:t>2013</w:t>
            </w:r>
          </w:p>
        </w:tc>
        <w:tc>
          <w:tcPr>
            <w:tcW w:w="90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09A8672A" w14:textId="77777777" w:rsidR="003B7120" w:rsidRPr="0033055B" w:rsidRDefault="003B7120">
            <w:pPr>
              <w:jc w:val="center"/>
              <w:rPr>
                <w:rFonts w:ascii="Calibri" w:eastAsia="Calibri" w:hAnsi="Calibri"/>
                <w:b/>
                <w:bCs/>
              </w:rPr>
            </w:pPr>
            <w:r>
              <w:rPr>
                <w:rFonts w:ascii="Calibri" w:hAnsi="Calibri"/>
                <w:b/>
                <w:bCs/>
              </w:rPr>
              <w:t>2014</w:t>
            </w:r>
          </w:p>
        </w:tc>
        <w:tc>
          <w:tcPr>
            <w:tcW w:w="90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8A6205" w14:textId="77777777" w:rsidR="003B7120" w:rsidRPr="0033055B" w:rsidRDefault="003B7120">
            <w:pPr>
              <w:jc w:val="center"/>
              <w:rPr>
                <w:rFonts w:ascii="Calibri" w:eastAsia="Calibri" w:hAnsi="Calibri"/>
                <w:b/>
                <w:bCs/>
              </w:rPr>
            </w:pPr>
            <w:r>
              <w:rPr>
                <w:rFonts w:ascii="Calibri" w:hAnsi="Calibri"/>
                <w:b/>
                <w:bCs/>
              </w:rPr>
              <w:t>2015</w:t>
            </w:r>
          </w:p>
        </w:tc>
        <w:tc>
          <w:tcPr>
            <w:tcW w:w="90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DF104B" w14:textId="77777777" w:rsidR="003B7120" w:rsidRPr="0033055B" w:rsidRDefault="003B7120">
            <w:pPr>
              <w:jc w:val="center"/>
              <w:rPr>
                <w:rFonts w:ascii="Calibri" w:eastAsia="Calibri" w:hAnsi="Calibri"/>
                <w:b/>
                <w:bCs/>
              </w:rPr>
            </w:pPr>
            <w:r>
              <w:rPr>
                <w:rFonts w:ascii="Calibri" w:hAnsi="Calibri"/>
                <w:b/>
                <w:bCs/>
              </w:rPr>
              <w:t>2016</w:t>
            </w:r>
          </w:p>
        </w:tc>
        <w:tc>
          <w:tcPr>
            <w:tcW w:w="90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80C2BF" w14:textId="77777777" w:rsidR="003B7120" w:rsidRPr="0033055B" w:rsidRDefault="003B7120">
            <w:pPr>
              <w:jc w:val="center"/>
              <w:rPr>
                <w:rFonts w:ascii="Calibri" w:eastAsia="Calibri" w:hAnsi="Calibri"/>
                <w:b/>
                <w:bCs/>
              </w:rPr>
            </w:pPr>
            <w:r>
              <w:rPr>
                <w:rFonts w:ascii="Calibri" w:hAnsi="Calibri"/>
                <w:b/>
                <w:bCs/>
              </w:rPr>
              <w:t>2017</w:t>
            </w:r>
          </w:p>
        </w:tc>
        <w:tc>
          <w:tcPr>
            <w:tcW w:w="90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BBE764" w14:textId="77777777" w:rsidR="003B7120" w:rsidRPr="0033055B" w:rsidRDefault="003B7120">
            <w:pPr>
              <w:jc w:val="center"/>
              <w:rPr>
                <w:rFonts w:ascii="Calibri" w:eastAsia="Calibri" w:hAnsi="Calibri"/>
                <w:b/>
                <w:bCs/>
              </w:rPr>
            </w:pPr>
            <w:r>
              <w:rPr>
                <w:rFonts w:ascii="Calibri" w:hAnsi="Calibri"/>
                <w:b/>
                <w:bCs/>
              </w:rPr>
              <w:t>2018</w:t>
            </w:r>
          </w:p>
        </w:tc>
        <w:tc>
          <w:tcPr>
            <w:tcW w:w="90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A89E2D" w14:textId="77777777" w:rsidR="003B7120" w:rsidRPr="0033055B" w:rsidRDefault="003B7120">
            <w:pPr>
              <w:jc w:val="center"/>
              <w:rPr>
                <w:rFonts w:ascii="Calibri" w:eastAsia="Calibri" w:hAnsi="Calibri"/>
                <w:b/>
                <w:bCs/>
              </w:rPr>
            </w:pPr>
            <w:r>
              <w:rPr>
                <w:rFonts w:ascii="Calibri" w:hAnsi="Calibri"/>
                <w:b/>
                <w:bCs/>
              </w:rPr>
              <w:t>2019</w:t>
            </w:r>
          </w:p>
        </w:tc>
        <w:tc>
          <w:tcPr>
            <w:tcW w:w="90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67C8FCB0" w14:textId="77777777" w:rsidR="003B7120" w:rsidRPr="0033055B" w:rsidRDefault="003B7120">
            <w:pPr>
              <w:jc w:val="center"/>
              <w:rPr>
                <w:rFonts w:ascii="Calibri" w:eastAsia="Calibri" w:hAnsi="Calibri"/>
                <w:b/>
                <w:bCs/>
              </w:rPr>
            </w:pPr>
            <w:r>
              <w:rPr>
                <w:rFonts w:ascii="Calibri" w:hAnsi="Calibri"/>
                <w:b/>
                <w:bCs/>
              </w:rPr>
              <w:t>2020</w:t>
            </w:r>
          </w:p>
        </w:tc>
      </w:tr>
      <w:tr w:rsidR="003B7120" w:rsidRPr="0033055B" w14:paraId="324E1E48" w14:textId="77777777" w:rsidTr="007563F9">
        <w:trPr>
          <w:trHeight w:val="63"/>
          <w:jc w:val="center"/>
        </w:trPr>
        <w:tc>
          <w:tcPr>
            <w:tcW w:w="1861" w:type="dxa"/>
            <w:tcBorders>
              <w:top w:val="single" w:sz="4" w:space="0" w:color="auto"/>
              <w:left w:val="single" w:sz="4" w:space="0" w:color="auto"/>
              <w:bottom w:val="single" w:sz="4" w:space="0" w:color="auto"/>
              <w:right w:val="single" w:sz="4" w:space="0" w:color="auto"/>
            </w:tcBorders>
            <w:noWrap/>
            <w:hideMark/>
          </w:tcPr>
          <w:p w14:paraId="2E9D4AC0" w14:textId="77777777" w:rsidR="003B7120" w:rsidRPr="0033055B" w:rsidRDefault="003B7120">
            <w:pPr>
              <w:rPr>
                <w:rFonts w:ascii="Calibri" w:eastAsia="Calibri" w:hAnsi="Calibri"/>
                <w:b/>
                <w:bCs/>
              </w:rPr>
            </w:pPr>
            <w:r>
              <w:rPr>
                <w:rFonts w:ascii="Calibri" w:hAnsi="Calibri"/>
                <w:b/>
                <w:bCs/>
              </w:rPr>
              <w:t>BRE-E [%] - M</w:t>
            </w:r>
          </w:p>
        </w:tc>
        <w:tc>
          <w:tcPr>
            <w:tcW w:w="906" w:type="dxa"/>
            <w:tcBorders>
              <w:top w:val="single" w:sz="4" w:space="0" w:color="auto"/>
              <w:left w:val="single" w:sz="4" w:space="0" w:color="auto"/>
              <w:bottom w:val="single" w:sz="4" w:space="0" w:color="auto"/>
              <w:right w:val="single" w:sz="4" w:space="0" w:color="auto"/>
            </w:tcBorders>
            <w:noWrap/>
            <w:vAlign w:val="center"/>
            <w:hideMark/>
          </w:tcPr>
          <w:p w14:paraId="63496E7B" w14:textId="77777777" w:rsidR="003B7120" w:rsidRPr="0033055B" w:rsidRDefault="003B7120">
            <w:pPr>
              <w:jc w:val="center"/>
              <w:rPr>
                <w:rFonts w:ascii="Calibri" w:eastAsia="Calibri" w:hAnsi="Calibri"/>
                <w:bCs/>
              </w:rPr>
            </w:pPr>
            <w:r>
              <w:rPr>
                <w:rFonts w:ascii="Calibri" w:hAnsi="Calibri"/>
                <w:bCs/>
              </w:rPr>
              <w:t>1.71%</w:t>
            </w:r>
          </w:p>
        </w:tc>
        <w:tc>
          <w:tcPr>
            <w:tcW w:w="906" w:type="dxa"/>
            <w:tcBorders>
              <w:top w:val="single" w:sz="4" w:space="0" w:color="auto"/>
              <w:left w:val="single" w:sz="4" w:space="0" w:color="auto"/>
              <w:bottom w:val="single" w:sz="4" w:space="0" w:color="auto"/>
              <w:right w:val="single" w:sz="4" w:space="0" w:color="auto"/>
            </w:tcBorders>
            <w:noWrap/>
            <w:vAlign w:val="center"/>
            <w:hideMark/>
          </w:tcPr>
          <w:p w14:paraId="13205082" w14:textId="77777777" w:rsidR="003B7120" w:rsidRPr="0033055B" w:rsidRDefault="003B7120">
            <w:pPr>
              <w:jc w:val="center"/>
              <w:rPr>
                <w:rFonts w:ascii="Calibri" w:eastAsia="Calibri" w:hAnsi="Calibri"/>
                <w:bCs/>
              </w:rPr>
            </w:pPr>
            <w:r>
              <w:rPr>
                <w:rFonts w:ascii="Calibri" w:hAnsi="Calibri"/>
                <w:bCs/>
              </w:rPr>
              <w:t>2.16%</w:t>
            </w:r>
          </w:p>
        </w:tc>
        <w:tc>
          <w:tcPr>
            <w:tcW w:w="906" w:type="dxa"/>
            <w:tcBorders>
              <w:top w:val="single" w:sz="4" w:space="0" w:color="auto"/>
              <w:left w:val="single" w:sz="4" w:space="0" w:color="auto"/>
              <w:bottom w:val="single" w:sz="4" w:space="0" w:color="auto"/>
              <w:right w:val="single" w:sz="4" w:space="0" w:color="auto"/>
            </w:tcBorders>
            <w:noWrap/>
            <w:vAlign w:val="center"/>
            <w:hideMark/>
          </w:tcPr>
          <w:p w14:paraId="59BD4D50" w14:textId="77777777" w:rsidR="003B7120" w:rsidRPr="0033055B" w:rsidRDefault="003B7120">
            <w:pPr>
              <w:pStyle w:val="Default"/>
              <w:jc w:val="right"/>
              <w:rPr>
                <w:rFonts w:ascii="Calibri" w:eastAsia="Calibri" w:hAnsi="Calibri"/>
                <w:bCs/>
                <w:color w:val="auto"/>
                <w:sz w:val="22"/>
                <w:szCs w:val="22"/>
              </w:rPr>
            </w:pPr>
            <w:r>
              <w:rPr>
                <w:rFonts w:ascii="Calibri" w:hAnsi="Calibri"/>
                <w:bCs/>
                <w:color w:val="auto"/>
                <w:sz w:val="22"/>
                <w:szCs w:val="22"/>
              </w:rPr>
              <w:t>2.12%</w:t>
            </w:r>
          </w:p>
        </w:tc>
        <w:tc>
          <w:tcPr>
            <w:tcW w:w="906" w:type="dxa"/>
            <w:tcBorders>
              <w:top w:val="single" w:sz="4" w:space="0" w:color="auto"/>
              <w:left w:val="single" w:sz="4" w:space="0" w:color="auto"/>
              <w:bottom w:val="single" w:sz="4" w:space="0" w:color="auto"/>
              <w:right w:val="single" w:sz="4" w:space="0" w:color="auto"/>
            </w:tcBorders>
            <w:noWrap/>
            <w:vAlign w:val="center"/>
            <w:hideMark/>
          </w:tcPr>
          <w:p w14:paraId="4E4BD7D8" w14:textId="77777777" w:rsidR="003B7120" w:rsidRPr="0033055B" w:rsidRDefault="003B7120">
            <w:pPr>
              <w:pStyle w:val="Default"/>
              <w:jc w:val="right"/>
              <w:rPr>
                <w:rFonts w:ascii="Calibri" w:eastAsia="Calibri" w:hAnsi="Calibri"/>
                <w:bCs/>
                <w:color w:val="auto"/>
                <w:sz w:val="22"/>
                <w:szCs w:val="22"/>
              </w:rPr>
            </w:pPr>
            <w:r>
              <w:rPr>
                <w:rFonts w:ascii="Calibri" w:hAnsi="Calibri"/>
                <w:bCs/>
                <w:color w:val="auto"/>
                <w:sz w:val="22"/>
                <w:szCs w:val="22"/>
              </w:rPr>
              <w:t>5.13%</w:t>
            </w:r>
          </w:p>
        </w:tc>
        <w:tc>
          <w:tcPr>
            <w:tcW w:w="906" w:type="dxa"/>
            <w:tcBorders>
              <w:top w:val="single" w:sz="4" w:space="0" w:color="auto"/>
              <w:left w:val="single" w:sz="4" w:space="0" w:color="auto"/>
              <w:bottom w:val="single" w:sz="4" w:space="0" w:color="auto"/>
              <w:right w:val="single" w:sz="4" w:space="0" w:color="auto"/>
            </w:tcBorders>
            <w:vAlign w:val="center"/>
            <w:hideMark/>
          </w:tcPr>
          <w:p w14:paraId="4EA454E1" w14:textId="77777777" w:rsidR="003B7120" w:rsidRPr="00D75714" w:rsidRDefault="00724C64">
            <w:pPr>
              <w:pStyle w:val="Default"/>
              <w:jc w:val="right"/>
              <w:rPr>
                <w:rFonts w:ascii="Calibri" w:eastAsia="Calibri" w:hAnsi="Calibri"/>
                <w:bCs/>
                <w:color w:val="auto"/>
                <w:sz w:val="22"/>
                <w:szCs w:val="22"/>
              </w:rPr>
            </w:pPr>
            <w:r>
              <w:rPr>
                <w:rFonts w:ascii="Calibri" w:hAnsi="Calibri"/>
                <w:bCs/>
                <w:color w:val="auto"/>
                <w:sz w:val="22"/>
                <w:szCs w:val="22"/>
              </w:rPr>
              <w:t>5.62%</w:t>
            </w:r>
          </w:p>
        </w:tc>
        <w:tc>
          <w:tcPr>
            <w:tcW w:w="906" w:type="dxa"/>
            <w:tcBorders>
              <w:top w:val="single" w:sz="4" w:space="0" w:color="auto"/>
              <w:left w:val="single" w:sz="4" w:space="0" w:color="auto"/>
              <w:bottom w:val="single" w:sz="4" w:space="0" w:color="auto"/>
              <w:right w:val="single" w:sz="4" w:space="0" w:color="auto"/>
            </w:tcBorders>
            <w:vAlign w:val="center"/>
            <w:hideMark/>
          </w:tcPr>
          <w:p w14:paraId="11592CA9" w14:textId="77777777" w:rsidR="003B7120" w:rsidRPr="0033055B" w:rsidRDefault="003B7120">
            <w:pPr>
              <w:pStyle w:val="Default"/>
              <w:jc w:val="right"/>
              <w:rPr>
                <w:rFonts w:ascii="Calibri" w:eastAsia="Calibri" w:hAnsi="Calibri"/>
                <w:bCs/>
                <w:color w:val="auto"/>
                <w:sz w:val="22"/>
                <w:szCs w:val="22"/>
              </w:rPr>
            </w:pPr>
            <w:r>
              <w:rPr>
                <w:rFonts w:ascii="Calibri" w:hAnsi="Calibri"/>
                <w:bCs/>
                <w:color w:val="auto"/>
                <w:sz w:val="22"/>
                <w:szCs w:val="22"/>
              </w:rPr>
              <w:t>6.58%</w:t>
            </w:r>
          </w:p>
        </w:tc>
        <w:tc>
          <w:tcPr>
            <w:tcW w:w="906" w:type="dxa"/>
            <w:tcBorders>
              <w:top w:val="single" w:sz="4" w:space="0" w:color="auto"/>
              <w:left w:val="single" w:sz="4" w:space="0" w:color="auto"/>
              <w:bottom w:val="single" w:sz="4" w:space="0" w:color="auto"/>
              <w:right w:val="single" w:sz="4" w:space="0" w:color="auto"/>
            </w:tcBorders>
            <w:vAlign w:val="center"/>
            <w:hideMark/>
          </w:tcPr>
          <w:p w14:paraId="2512F89B" w14:textId="77777777" w:rsidR="003B7120" w:rsidRPr="0033055B" w:rsidRDefault="003B7120">
            <w:pPr>
              <w:pStyle w:val="Default"/>
              <w:jc w:val="right"/>
              <w:rPr>
                <w:rFonts w:ascii="Calibri" w:eastAsia="Calibri" w:hAnsi="Calibri"/>
                <w:bCs/>
                <w:color w:val="auto"/>
                <w:sz w:val="22"/>
                <w:szCs w:val="22"/>
              </w:rPr>
            </w:pPr>
            <w:r>
              <w:rPr>
                <w:rFonts w:ascii="Calibri" w:hAnsi="Calibri"/>
                <w:bCs/>
                <w:color w:val="auto"/>
                <w:sz w:val="22"/>
                <w:szCs w:val="22"/>
              </w:rPr>
              <w:t>13.20%</w:t>
            </w:r>
          </w:p>
        </w:tc>
        <w:tc>
          <w:tcPr>
            <w:tcW w:w="906" w:type="dxa"/>
            <w:tcBorders>
              <w:top w:val="single" w:sz="4" w:space="0" w:color="auto"/>
              <w:left w:val="single" w:sz="4" w:space="0" w:color="auto"/>
              <w:bottom w:val="single" w:sz="4" w:space="0" w:color="auto"/>
              <w:right w:val="single" w:sz="4" w:space="0" w:color="auto"/>
            </w:tcBorders>
            <w:vAlign w:val="center"/>
            <w:hideMark/>
          </w:tcPr>
          <w:p w14:paraId="63D82866" w14:textId="77777777" w:rsidR="003B7120" w:rsidRPr="0033055B" w:rsidRDefault="003B7120">
            <w:pPr>
              <w:pStyle w:val="Default"/>
              <w:jc w:val="right"/>
              <w:rPr>
                <w:rFonts w:ascii="Calibri" w:eastAsia="Calibri" w:hAnsi="Calibri"/>
                <w:bCs/>
                <w:color w:val="auto"/>
                <w:sz w:val="22"/>
                <w:szCs w:val="22"/>
              </w:rPr>
            </w:pPr>
            <w:r>
              <w:rPr>
                <w:rFonts w:ascii="Calibri" w:hAnsi="Calibri"/>
                <w:bCs/>
                <w:color w:val="auto"/>
                <w:sz w:val="22"/>
                <w:szCs w:val="22"/>
              </w:rPr>
              <w:t>14.42%</w:t>
            </w:r>
          </w:p>
        </w:tc>
        <w:tc>
          <w:tcPr>
            <w:tcW w:w="906" w:type="dxa"/>
            <w:tcBorders>
              <w:top w:val="single" w:sz="4" w:space="0" w:color="auto"/>
              <w:left w:val="single" w:sz="4" w:space="0" w:color="auto"/>
              <w:bottom w:val="single" w:sz="4" w:space="0" w:color="auto"/>
              <w:right w:val="single" w:sz="4" w:space="0" w:color="auto"/>
            </w:tcBorders>
            <w:vAlign w:val="center"/>
            <w:hideMark/>
          </w:tcPr>
          <w:p w14:paraId="7692C5F1" w14:textId="77777777" w:rsidR="003B7120" w:rsidRPr="0033055B" w:rsidRDefault="003B7120">
            <w:pPr>
              <w:pStyle w:val="Default"/>
              <w:jc w:val="right"/>
              <w:rPr>
                <w:rFonts w:ascii="Calibri" w:eastAsia="Calibri" w:hAnsi="Calibri"/>
                <w:bCs/>
                <w:color w:val="auto"/>
                <w:sz w:val="22"/>
                <w:szCs w:val="22"/>
              </w:rPr>
            </w:pPr>
            <w:r>
              <w:rPr>
                <w:rFonts w:ascii="Calibri" w:hAnsi="Calibri"/>
                <w:bCs/>
                <w:color w:val="auto"/>
                <w:sz w:val="22"/>
                <w:szCs w:val="22"/>
              </w:rPr>
              <w:t>14.10%</w:t>
            </w:r>
          </w:p>
        </w:tc>
        <w:tc>
          <w:tcPr>
            <w:tcW w:w="907" w:type="dxa"/>
            <w:tcBorders>
              <w:top w:val="single" w:sz="4" w:space="0" w:color="auto"/>
              <w:left w:val="single" w:sz="4" w:space="0" w:color="auto"/>
              <w:bottom w:val="single" w:sz="4" w:space="0" w:color="auto"/>
              <w:right w:val="single" w:sz="4" w:space="0" w:color="auto"/>
            </w:tcBorders>
            <w:noWrap/>
            <w:vAlign w:val="center"/>
            <w:hideMark/>
          </w:tcPr>
          <w:p w14:paraId="77C0962C" w14:textId="77777777" w:rsidR="003B7120" w:rsidRPr="0033055B" w:rsidRDefault="003B7120">
            <w:pPr>
              <w:pStyle w:val="Default"/>
              <w:jc w:val="right"/>
              <w:rPr>
                <w:rFonts w:ascii="Calibri" w:eastAsia="Calibri" w:hAnsi="Calibri"/>
                <w:bCs/>
                <w:color w:val="auto"/>
                <w:sz w:val="22"/>
                <w:szCs w:val="22"/>
              </w:rPr>
            </w:pPr>
            <w:r>
              <w:rPr>
                <w:rFonts w:ascii="Calibri" w:hAnsi="Calibri"/>
                <w:bCs/>
                <w:color w:val="auto"/>
                <w:sz w:val="22"/>
                <w:szCs w:val="22"/>
              </w:rPr>
              <w:t>14.33%</w:t>
            </w:r>
          </w:p>
        </w:tc>
      </w:tr>
      <w:tr w:rsidR="003B7120" w:rsidRPr="0033055B" w14:paraId="5995CAC8" w14:textId="77777777" w:rsidTr="007563F9">
        <w:trPr>
          <w:trHeight w:val="107"/>
          <w:jc w:val="center"/>
        </w:trPr>
        <w:tc>
          <w:tcPr>
            <w:tcW w:w="1861" w:type="dxa"/>
            <w:tcBorders>
              <w:top w:val="single" w:sz="4" w:space="0" w:color="auto"/>
              <w:left w:val="single" w:sz="4" w:space="0" w:color="auto"/>
              <w:bottom w:val="single" w:sz="4" w:space="0" w:color="auto"/>
              <w:right w:val="single" w:sz="4" w:space="0" w:color="auto"/>
            </w:tcBorders>
            <w:noWrap/>
            <w:hideMark/>
          </w:tcPr>
          <w:p w14:paraId="79EC7337" w14:textId="77777777" w:rsidR="003B7120" w:rsidRPr="0033055B" w:rsidRDefault="003B7120">
            <w:pPr>
              <w:rPr>
                <w:rFonts w:ascii="Calibri" w:eastAsia="Calibri" w:hAnsi="Calibri"/>
                <w:b/>
                <w:bCs/>
              </w:rPr>
            </w:pPr>
            <w:r>
              <w:rPr>
                <w:rFonts w:ascii="Calibri" w:hAnsi="Calibri"/>
                <w:b/>
                <w:bCs/>
              </w:rPr>
              <w:t>BRE-E [%]- V</w:t>
            </w:r>
          </w:p>
        </w:tc>
        <w:tc>
          <w:tcPr>
            <w:tcW w:w="906" w:type="dxa"/>
            <w:tcBorders>
              <w:top w:val="single" w:sz="4" w:space="0" w:color="auto"/>
              <w:left w:val="single" w:sz="4" w:space="0" w:color="auto"/>
              <w:bottom w:val="single" w:sz="4" w:space="0" w:color="auto"/>
              <w:right w:val="single" w:sz="4" w:space="0" w:color="auto"/>
            </w:tcBorders>
            <w:noWrap/>
            <w:vAlign w:val="center"/>
            <w:hideMark/>
          </w:tcPr>
          <w:p w14:paraId="7F0CF49F" w14:textId="77777777" w:rsidR="003B7120" w:rsidRPr="0033055B" w:rsidRDefault="003B7120">
            <w:pPr>
              <w:jc w:val="center"/>
              <w:rPr>
                <w:rFonts w:ascii="Calibri" w:eastAsia="Calibri" w:hAnsi="Calibri"/>
                <w:bCs/>
              </w:rPr>
            </w:pPr>
            <w:r>
              <w:rPr>
                <w:rFonts w:ascii="Calibri" w:hAnsi="Calibri"/>
                <w:bCs/>
              </w:rPr>
              <w:t>1.71%</w:t>
            </w:r>
          </w:p>
        </w:tc>
        <w:tc>
          <w:tcPr>
            <w:tcW w:w="906" w:type="dxa"/>
            <w:tcBorders>
              <w:top w:val="single" w:sz="4" w:space="0" w:color="auto"/>
              <w:left w:val="single" w:sz="4" w:space="0" w:color="auto"/>
              <w:bottom w:val="single" w:sz="4" w:space="0" w:color="auto"/>
              <w:right w:val="single" w:sz="4" w:space="0" w:color="auto"/>
            </w:tcBorders>
            <w:noWrap/>
            <w:vAlign w:val="center"/>
            <w:hideMark/>
          </w:tcPr>
          <w:p w14:paraId="2F116A7A" w14:textId="77777777" w:rsidR="003B7120" w:rsidRPr="0033055B" w:rsidRDefault="003B7120">
            <w:pPr>
              <w:jc w:val="center"/>
              <w:rPr>
                <w:rFonts w:ascii="Calibri" w:eastAsia="Calibri" w:hAnsi="Calibri"/>
                <w:bCs/>
              </w:rPr>
            </w:pPr>
            <w:r>
              <w:rPr>
                <w:rFonts w:ascii="Calibri" w:hAnsi="Calibri"/>
                <w:bCs/>
              </w:rPr>
              <w:t>2.16%</w:t>
            </w:r>
          </w:p>
        </w:tc>
        <w:tc>
          <w:tcPr>
            <w:tcW w:w="906" w:type="dxa"/>
            <w:tcBorders>
              <w:top w:val="single" w:sz="4" w:space="0" w:color="auto"/>
              <w:left w:val="single" w:sz="4" w:space="0" w:color="auto"/>
              <w:bottom w:val="single" w:sz="4" w:space="0" w:color="auto"/>
              <w:right w:val="single" w:sz="4" w:space="0" w:color="auto"/>
            </w:tcBorders>
            <w:noWrap/>
            <w:vAlign w:val="center"/>
            <w:hideMark/>
          </w:tcPr>
          <w:p w14:paraId="4A2EA7C1" w14:textId="77777777" w:rsidR="003B7120" w:rsidRPr="0033055B" w:rsidRDefault="003B7120">
            <w:pPr>
              <w:jc w:val="center"/>
              <w:rPr>
                <w:rFonts w:ascii="Calibri" w:eastAsia="Calibri" w:hAnsi="Calibri"/>
                <w:bCs/>
              </w:rPr>
            </w:pPr>
            <w:r>
              <w:rPr>
                <w:rFonts w:ascii="Calibri" w:hAnsi="Calibri"/>
                <w:bCs/>
              </w:rPr>
              <w:t>2.16%</w:t>
            </w:r>
          </w:p>
        </w:tc>
        <w:tc>
          <w:tcPr>
            <w:tcW w:w="906" w:type="dxa"/>
            <w:tcBorders>
              <w:top w:val="single" w:sz="4" w:space="0" w:color="auto"/>
              <w:left w:val="single" w:sz="4" w:space="0" w:color="auto"/>
              <w:bottom w:val="single" w:sz="4" w:space="0" w:color="auto"/>
              <w:right w:val="single" w:sz="4" w:space="0" w:color="auto"/>
            </w:tcBorders>
            <w:noWrap/>
            <w:vAlign w:val="center"/>
            <w:hideMark/>
          </w:tcPr>
          <w:p w14:paraId="7AE6845B" w14:textId="77777777" w:rsidR="003B7120" w:rsidRPr="0033055B" w:rsidRDefault="003B7120">
            <w:pPr>
              <w:jc w:val="center"/>
              <w:rPr>
                <w:rFonts w:ascii="Calibri" w:eastAsia="Calibri" w:hAnsi="Calibri"/>
                <w:bCs/>
              </w:rPr>
            </w:pPr>
            <w:r>
              <w:rPr>
                <w:rFonts w:ascii="Calibri" w:hAnsi="Calibri"/>
                <w:bCs/>
              </w:rPr>
              <w:t>7.34%</w:t>
            </w:r>
          </w:p>
        </w:tc>
        <w:tc>
          <w:tcPr>
            <w:tcW w:w="906" w:type="dxa"/>
            <w:tcBorders>
              <w:top w:val="single" w:sz="4" w:space="0" w:color="auto"/>
              <w:left w:val="single" w:sz="4" w:space="0" w:color="auto"/>
              <w:bottom w:val="single" w:sz="4" w:space="0" w:color="auto"/>
              <w:right w:val="single" w:sz="4" w:space="0" w:color="auto"/>
            </w:tcBorders>
            <w:vAlign w:val="center"/>
            <w:hideMark/>
          </w:tcPr>
          <w:p w14:paraId="787090D0" w14:textId="77777777" w:rsidR="003B7120" w:rsidRPr="00D75714" w:rsidRDefault="003B7120">
            <w:pPr>
              <w:jc w:val="center"/>
              <w:rPr>
                <w:rFonts w:ascii="Calibri" w:eastAsia="Calibri" w:hAnsi="Calibri"/>
                <w:bCs/>
              </w:rPr>
            </w:pPr>
            <w:r>
              <w:rPr>
                <w:rFonts w:ascii="Calibri" w:hAnsi="Calibri"/>
                <w:bCs/>
              </w:rPr>
              <w:t xml:space="preserve">13.78% </w:t>
            </w:r>
          </w:p>
        </w:tc>
        <w:tc>
          <w:tcPr>
            <w:tcW w:w="906" w:type="dxa"/>
            <w:tcBorders>
              <w:top w:val="single" w:sz="4" w:space="0" w:color="auto"/>
              <w:left w:val="single" w:sz="4" w:space="0" w:color="auto"/>
              <w:bottom w:val="single" w:sz="4" w:space="0" w:color="auto"/>
              <w:right w:val="single" w:sz="4" w:space="0" w:color="auto"/>
            </w:tcBorders>
            <w:vAlign w:val="center"/>
            <w:hideMark/>
          </w:tcPr>
          <w:p w14:paraId="11708236" w14:textId="77777777" w:rsidR="003B7120" w:rsidRPr="0033055B" w:rsidRDefault="003B7120">
            <w:pPr>
              <w:jc w:val="center"/>
              <w:rPr>
                <w:rFonts w:ascii="Calibri" w:eastAsia="Calibri" w:hAnsi="Calibri"/>
                <w:bCs/>
              </w:rPr>
            </w:pPr>
            <w:r>
              <w:rPr>
                <w:rFonts w:ascii="Calibri" w:hAnsi="Calibri"/>
                <w:bCs/>
              </w:rPr>
              <w:t xml:space="preserve">15.00% </w:t>
            </w:r>
          </w:p>
        </w:tc>
        <w:tc>
          <w:tcPr>
            <w:tcW w:w="906" w:type="dxa"/>
            <w:tcBorders>
              <w:top w:val="single" w:sz="4" w:space="0" w:color="auto"/>
              <w:left w:val="single" w:sz="4" w:space="0" w:color="auto"/>
              <w:bottom w:val="single" w:sz="4" w:space="0" w:color="auto"/>
              <w:right w:val="single" w:sz="4" w:space="0" w:color="auto"/>
            </w:tcBorders>
            <w:vAlign w:val="center"/>
            <w:hideMark/>
          </w:tcPr>
          <w:p w14:paraId="244014D4" w14:textId="77777777" w:rsidR="003B7120" w:rsidRPr="0033055B" w:rsidRDefault="003B7120">
            <w:pPr>
              <w:jc w:val="center"/>
              <w:rPr>
                <w:rFonts w:ascii="Calibri" w:eastAsia="Calibri" w:hAnsi="Calibri"/>
                <w:bCs/>
              </w:rPr>
            </w:pPr>
            <w:r>
              <w:rPr>
                <w:rFonts w:ascii="Calibri" w:hAnsi="Calibri"/>
                <w:bCs/>
              </w:rPr>
              <w:t>21.60%</w:t>
            </w:r>
          </w:p>
        </w:tc>
        <w:tc>
          <w:tcPr>
            <w:tcW w:w="906" w:type="dxa"/>
            <w:tcBorders>
              <w:top w:val="single" w:sz="4" w:space="0" w:color="auto"/>
              <w:left w:val="single" w:sz="4" w:space="0" w:color="auto"/>
              <w:bottom w:val="single" w:sz="4" w:space="0" w:color="auto"/>
              <w:right w:val="single" w:sz="4" w:space="0" w:color="auto"/>
            </w:tcBorders>
            <w:vAlign w:val="center"/>
            <w:hideMark/>
          </w:tcPr>
          <w:p w14:paraId="496BE03B" w14:textId="77777777" w:rsidR="003B7120" w:rsidRPr="0033055B" w:rsidRDefault="003B7120">
            <w:pPr>
              <w:jc w:val="center"/>
              <w:rPr>
                <w:rFonts w:ascii="Calibri" w:eastAsia="Calibri" w:hAnsi="Calibri"/>
                <w:bCs/>
              </w:rPr>
            </w:pPr>
            <w:r>
              <w:rPr>
                <w:rFonts w:ascii="Calibri" w:hAnsi="Calibri"/>
                <w:bCs/>
              </w:rPr>
              <w:t>23.18%</w:t>
            </w:r>
          </w:p>
        </w:tc>
        <w:tc>
          <w:tcPr>
            <w:tcW w:w="906" w:type="dxa"/>
            <w:tcBorders>
              <w:top w:val="single" w:sz="4" w:space="0" w:color="auto"/>
              <w:left w:val="single" w:sz="4" w:space="0" w:color="auto"/>
              <w:bottom w:val="single" w:sz="4" w:space="0" w:color="auto"/>
              <w:right w:val="single" w:sz="4" w:space="0" w:color="auto"/>
            </w:tcBorders>
            <w:vAlign w:val="center"/>
            <w:hideMark/>
          </w:tcPr>
          <w:p w14:paraId="4A8621C2" w14:textId="77777777" w:rsidR="003B7120" w:rsidRPr="0033055B" w:rsidRDefault="003B7120">
            <w:pPr>
              <w:jc w:val="center"/>
              <w:rPr>
                <w:rFonts w:ascii="Calibri" w:eastAsia="Calibri" w:hAnsi="Calibri"/>
                <w:bCs/>
              </w:rPr>
            </w:pPr>
            <w:r>
              <w:rPr>
                <w:rFonts w:ascii="Calibri" w:hAnsi="Calibri"/>
                <w:bCs/>
              </w:rPr>
              <w:t>23.39%</w:t>
            </w:r>
          </w:p>
        </w:tc>
        <w:tc>
          <w:tcPr>
            <w:tcW w:w="907" w:type="dxa"/>
            <w:tcBorders>
              <w:top w:val="single" w:sz="4" w:space="0" w:color="auto"/>
              <w:left w:val="single" w:sz="4" w:space="0" w:color="auto"/>
              <w:bottom w:val="single" w:sz="4" w:space="0" w:color="auto"/>
              <w:right w:val="single" w:sz="4" w:space="0" w:color="auto"/>
            </w:tcBorders>
            <w:noWrap/>
            <w:vAlign w:val="center"/>
            <w:hideMark/>
          </w:tcPr>
          <w:p w14:paraId="16C9DFA7" w14:textId="77777777" w:rsidR="003B7120" w:rsidRPr="0033055B" w:rsidRDefault="003B7120">
            <w:pPr>
              <w:jc w:val="center"/>
              <w:rPr>
                <w:rFonts w:ascii="Calibri" w:eastAsia="Calibri" w:hAnsi="Calibri"/>
                <w:bCs/>
              </w:rPr>
            </w:pPr>
            <w:r>
              <w:rPr>
                <w:rFonts w:ascii="Calibri" w:hAnsi="Calibri"/>
                <w:bCs/>
              </w:rPr>
              <w:t>25.64%</w:t>
            </w:r>
          </w:p>
        </w:tc>
      </w:tr>
      <w:tr w:rsidR="003B7120" w:rsidRPr="0033055B" w14:paraId="14BCDA3E" w14:textId="77777777" w:rsidTr="007563F9">
        <w:trPr>
          <w:trHeight w:val="209"/>
          <w:jc w:val="center"/>
        </w:trPr>
        <w:tc>
          <w:tcPr>
            <w:tcW w:w="1861" w:type="dxa"/>
            <w:tcBorders>
              <w:top w:val="single" w:sz="4" w:space="0" w:color="auto"/>
              <w:left w:val="single" w:sz="4" w:space="0" w:color="auto"/>
              <w:bottom w:val="single" w:sz="4" w:space="0" w:color="auto"/>
              <w:right w:val="single" w:sz="4" w:space="0" w:color="auto"/>
            </w:tcBorders>
            <w:noWrap/>
            <w:hideMark/>
          </w:tcPr>
          <w:p w14:paraId="62912E93" w14:textId="77777777" w:rsidR="003B7120" w:rsidRPr="0033055B" w:rsidRDefault="003B7120">
            <w:pPr>
              <w:rPr>
                <w:rFonts w:ascii="Calibri" w:eastAsia="Calibri" w:hAnsi="Calibri"/>
                <w:b/>
                <w:bCs/>
              </w:rPr>
            </w:pPr>
            <w:r>
              <w:rPr>
                <w:rFonts w:ascii="Calibri" w:hAnsi="Calibri"/>
                <w:b/>
                <w:bCs/>
              </w:rPr>
              <w:t>BRE-NeF [%]</w:t>
            </w:r>
          </w:p>
        </w:tc>
        <w:tc>
          <w:tcPr>
            <w:tcW w:w="906" w:type="dxa"/>
            <w:tcBorders>
              <w:top w:val="single" w:sz="4" w:space="0" w:color="auto"/>
              <w:left w:val="single" w:sz="4" w:space="0" w:color="auto"/>
              <w:bottom w:val="single" w:sz="4" w:space="0" w:color="auto"/>
              <w:right w:val="single" w:sz="4" w:space="0" w:color="auto"/>
            </w:tcBorders>
            <w:noWrap/>
            <w:vAlign w:val="center"/>
            <w:hideMark/>
          </w:tcPr>
          <w:p w14:paraId="76B4A806" w14:textId="77777777" w:rsidR="003B7120" w:rsidRPr="0033055B" w:rsidRDefault="003B7120">
            <w:pPr>
              <w:jc w:val="center"/>
              <w:rPr>
                <w:rFonts w:ascii="Calibri" w:eastAsia="Calibri" w:hAnsi="Calibri"/>
                <w:bCs/>
              </w:rPr>
            </w:pPr>
            <w:r>
              <w:rPr>
                <w:rFonts w:ascii="Calibri" w:hAnsi="Calibri"/>
                <w:bCs/>
              </w:rPr>
              <w:t>44.07%</w:t>
            </w:r>
          </w:p>
        </w:tc>
        <w:tc>
          <w:tcPr>
            <w:tcW w:w="906" w:type="dxa"/>
            <w:tcBorders>
              <w:top w:val="single" w:sz="4" w:space="0" w:color="auto"/>
              <w:left w:val="single" w:sz="4" w:space="0" w:color="auto"/>
              <w:bottom w:val="single" w:sz="4" w:space="0" w:color="auto"/>
              <w:right w:val="single" w:sz="4" w:space="0" w:color="auto"/>
            </w:tcBorders>
            <w:noWrap/>
            <w:vAlign w:val="center"/>
            <w:hideMark/>
          </w:tcPr>
          <w:p w14:paraId="0B9EDA3B" w14:textId="77777777" w:rsidR="003B7120" w:rsidRPr="0033055B" w:rsidRDefault="003B7120">
            <w:pPr>
              <w:jc w:val="center"/>
              <w:rPr>
                <w:rFonts w:ascii="Calibri" w:eastAsia="Calibri" w:hAnsi="Calibri"/>
                <w:bCs/>
              </w:rPr>
            </w:pPr>
            <w:r>
              <w:rPr>
                <w:rFonts w:ascii="Calibri" w:hAnsi="Calibri"/>
                <w:bCs/>
              </w:rPr>
              <w:t xml:space="preserve">46.45% </w:t>
            </w:r>
          </w:p>
        </w:tc>
        <w:tc>
          <w:tcPr>
            <w:tcW w:w="906" w:type="dxa"/>
            <w:tcBorders>
              <w:top w:val="single" w:sz="4" w:space="0" w:color="auto"/>
              <w:left w:val="single" w:sz="4" w:space="0" w:color="auto"/>
              <w:bottom w:val="single" w:sz="4" w:space="0" w:color="auto"/>
              <w:right w:val="single" w:sz="4" w:space="0" w:color="auto"/>
            </w:tcBorders>
            <w:noWrap/>
            <w:vAlign w:val="center"/>
            <w:hideMark/>
          </w:tcPr>
          <w:p w14:paraId="6826BA36" w14:textId="77777777" w:rsidR="003B7120" w:rsidRPr="0033055B" w:rsidRDefault="003B7120">
            <w:pPr>
              <w:jc w:val="center"/>
              <w:rPr>
                <w:rFonts w:ascii="Calibri" w:eastAsia="Calibri" w:hAnsi="Calibri"/>
                <w:bCs/>
              </w:rPr>
            </w:pPr>
            <w:r>
              <w:rPr>
                <w:rFonts w:ascii="Calibri" w:hAnsi="Calibri"/>
                <w:bCs/>
              </w:rPr>
              <w:t xml:space="preserve">45.22% </w:t>
            </w:r>
          </w:p>
        </w:tc>
        <w:tc>
          <w:tcPr>
            <w:tcW w:w="906" w:type="dxa"/>
            <w:tcBorders>
              <w:top w:val="single" w:sz="4" w:space="0" w:color="auto"/>
              <w:left w:val="single" w:sz="4" w:space="0" w:color="auto"/>
              <w:bottom w:val="single" w:sz="4" w:space="0" w:color="auto"/>
              <w:right w:val="single" w:sz="4" w:space="0" w:color="auto"/>
            </w:tcBorders>
            <w:noWrap/>
            <w:vAlign w:val="center"/>
            <w:hideMark/>
          </w:tcPr>
          <w:p w14:paraId="30C28CF9" w14:textId="77777777" w:rsidR="003B7120" w:rsidRPr="0033055B" w:rsidRDefault="003B7120">
            <w:pPr>
              <w:jc w:val="center"/>
              <w:rPr>
                <w:rFonts w:ascii="Calibri" w:eastAsia="Calibri" w:hAnsi="Calibri"/>
                <w:bCs/>
              </w:rPr>
            </w:pPr>
            <w:r>
              <w:rPr>
                <w:rFonts w:ascii="Calibri" w:hAnsi="Calibri"/>
                <w:bCs/>
              </w:rPr>
              <w:t xml:space="preserve">44.91% </w:t>
            </w:r>
          </w:p>
        </w:tc>
        <w:tc>
          <w:tcPr>
            <w:tcW w:w="906" w:type="dxa"/>
            <w:tcBorders>
              <w:top w:val="single" w:sz="4" w:space="0" w:color="auto"/>
              <w:left w:val="single" w:sz="4" w:space="0" w:color="auto"/>
              <w:bottom w:val="single" w:sz="4" w:space="0" w:color="auto"/>
              <w:right w:val="single" w:sz="4" w:space="0" w:color="auto"/>
            </w:tcBorders>
            <w:vAlign w:val="center"/>
            <w:hideMark/>
          </w:tcPr>
          <w:p w14:paraId="32A700C1" w14:textId="77777777" w:rsidR="003B7120" w:rsidRPr="00D75714" w:rsidRDefault="00724C64">
            <w:pPr>
              <w:jc w:val="center"/>
              <w:rPr>
                <w:rFonts w:ascii="Calibri" w:eastAsia="Calibri" w:hAnsi="Calibri"/>
                <w:bCs/>
              </w:rPr>
            </w:pPr>
            <w:r>
              <w:rPr>
                <w:rFonts w:ascii="Calibri" w:hAnsi="Calibri"/>
                <w:bCs/>
              </w:rPr>
              <w:t xml:space="preserve">44.77% </w:t>
            </w:r>
          </w:p>
        </w:tc>
        <w:tc>
          <w:tcPr>
            <w:tcW w:w="906" w:type="dxa"/>
            <w:tcBorders>
              <w:top w:val="single" w:sz="4" w:space="0" w:color="auto"/>
              <w:left w:val="single" w:sz="4" w:space="0" w:color="auto"/>
              <w:bottom w:val="single" w:sz="4" w:space="0" w:color="auto"/>
              <w:right w:val="single" w:sz="4" w:space="0" w:color="auto"/>
            </w:tcBorders>
            <w:vAlign w:val="center"/>
            <w:hideMark/>
          </w:tcPr>
          <w:p w14:paraId="4BD4ACDA" w14:textId="77777777" w:rsidR="003B7120" w:rsidRPr="0033055B" w:rsidRDefault="003B7120">
            <w:pPr>
              <w:jc w:val="center"/>
              <w:rPr>
                <w:rFonts w:ascii="Calibri" w:eastAsia="Calibri" w:hAnsi="Calibri"/>
                <w:bCs/>
              </w:rPr>
            </w:pPr>
            <w:r>
              <w:rPr>
                <w:rFonts w:ascii="Calibri" w:hAnsi="Calibri"/>
                <w:bCs/>
              </w:rPr>
              <w:t xml:space="preserve">44.84% </w:t>
            </w:r>
          </w:p>
        </w:tc>
        <w:tc>
          <w:tcPr>
            <w:tcW w:w="906" w:type="dxa"/>
            <w:tcBorders>
              <w:top w:val="single" w:sz="4" w:space="0" w:color="auto"/>
              <w:left w:val="single" w:sz="4" w:space="0" w:color="auto"/>
              <w:bottom w:val="single" w:sz="4" w:space="0" w:color="auto"/>
              <w:right w:val="single" w:sz="4" w:space="0" w:color="auto"/>
            </w:tcBorders>
            <w:vAlign w:val="center"/>
            <w:hideMark/>
          </w:tcPr>
          <w:p w14:paraId="38F7FEA3" w14:textId="77777777" w:rsidR="003B7120" w:rsidRPr="0033055B" w:rsidRDefault="003B7120">
            <w:pPr>
              <w:jc w:val="center"/>
              <w:rPr>
                <w:rFonts w:ascii="Calibri" w:eastAsia="Calibri" w:hAnsi="Calibri"/>
                <w:bCs/>
              </w:rPr>
            </w:pPr>
            <w:r>
              <w:rPr>
                <w:rFonts w:ascii="Calibri" w:hAnsi="Calibri"/>
                <w:bCs/>
              </w:rPr>
              <w:t xml:space="preserve">45.24% </w:t>
            </w:r>
          </w:p>
        </w:tc>
        <w:tc>
          <w:tcPr>
            <w:tcW w:w="906" w:type="dxa"/>
            <w:tcBorders>
              <w:top w:val="single" w:sz="4" w:space="0" w:color="auto"/>
              <w:left w:val="single" w:sz="4" w:space="0" w:color="auto"/>
              <w:bottom w:val="single" w:sz="4" w:space="0" w:color="auto"/>
              <w:right w:val="single" w:sz="4" w:space="0" w:color="auto"/>
            </w:tcBorders>
            <w:vAlign w:val="center"/>
            <w:hideMark/>
          </w:tcPr>
          <w:p w14:paraId="1CF08C15" w14:textId="77777777" w:rsidR="003B7120" w:rsidRPr="0033055B" w:rsidRDefault="003B7120">
            <w:pPr>
              <w:jc w:val="center"/>
              <w:rPr>
                <w:rFonts w:ascii="Calibri" w:eastAsia="Calibri" w:hAnsi="Calibri"/>
                <w:bCs/>
              </w:rPr>
            </w:pPr>
            <w:r>
              <w:rPr>
                <w:rFonts w:ascii="Calibri" w:hAnsi="Calibri"/>
                <w:bCs/>
              </w:rPr>
              <w:t xml:space="preserve">45.37% </w:t>
            </w:r>
          </w:p>
        </w:tc>
        <w:tc>
          <w:tcPr>
            <w:tcW w:w="906" w:type="dxa"/>
            <w:tcBorders>
              <w:top w:val="single" w:sz="4" w:space="0" w:color="auto"/>
              <w:left w:val="single" w:sz="4" w:space="0" w:color="auto"/>
              <w:bottom w:val="single" w:sz="4" w:space="0" w:color="auto"/>
              <w:right w:val="single" w:sz="4" w:space="0" w:color="auto"/>
            </w:tcBorders>
            <w:vAlign w:val="center"/>
            <w:hideMark/>
          </w:tcPr>
          <w:p w14:paraId="533AC570" w14:textId="77777777" w:rsidR="003B7120" w:rsidRPr="0033055B" w:rsidRDefault="003B7120">
            <w:pPr>
              <w:jc w:val="center"/>
              <w:rPr>
                <w:rFonts w:ascii="Calibri" w:eastAsia="Calibri" w:hAnsi="Calibri"/>
                <w:bCs/>
              </w:rPr>
            </w:pPr>
            <w:r>
              <w:rPr>
                <w:rFonts w:ascii="Calibri" w:hAnsi="Calibri"/>
                <w:bCs/>
              </w:rPr>
              <w:t xml:space="preserve">45.53% </w:t>
            </w:r>
          </w:p>
        </w:tc>
        <w:tc>
          <w:tcPr>
            <w:tcW w:w="907" w:type="dxa"/>
            <w:tcBorders>
              <w:top w:val="single" w:sz="4" w:space="0" w:color="auto"/>
              <w:left w:val="single" w:sz="4" w:space="0" w:color="auto"/>
              <w:bottom w:val="single" w:sz="4" w:space="0" w:color="auto"/>
              <w:right w:val="single" w:sz="4" w:space="0" w:color="auto"/>
            </w:tcBorders>
            <w:noWrap/>
            <w:vAlign w:val="center"/>
            <w:hideMark/>
          </w:tcPr>
          <w:p w14:paraId="10B5424A" w14:textId="77777777" w:rsidR="003B7120" w:rsidRPr="0033055B" w:rsidRDefault="003B7120">
            <w:pPr>
              <w:jc w:val="center"/>
              <w:rPr>
                <w:rFonts w:ascii="Calibri" w:eastAsia="Calibri" w:hAnsi="Calibri"/>
                <w:bCs/>
              </w:rPr>
            </w:pPr>
            <w:r>
              <w:rPr>
                <w:rFonts w:ascii="Calibri" w:hAnsi="Calibri"/>
                <w:bCs/>
              </w:rPr>
              <w:t xml:space="preserve">46.45% </w:t>
            </w:r>
          </w:p>
        </w:tc>
      </w:tr>
      <w:tr w:rsidR="003B7120" w:rsidRPr="0033055B" w14:paraId="787AF1C3" w14:textId="77777777" w:rsidTr="007563F9">
        <w:trPr>
          <w:trHeight w:val="219"/>
          <w:jc w:val="center"/>
        </w:trPr>
        <w:tc>
          <w:tcPr>
            <w:tcW w:w="1861" w:type="dxa"/>
            <w:tcBorders>
              <w:top w:val="single" w:sz="4" w:space="0" w:color="auto"/>
              <w:left w:val="single" w:sz="4" w:space="0" w:color="auto"/>
              <w:bottom w:val="single" w:sz="4" w:space="0" w:color="auto"/>
              <w:right w:val="single" w:sz="4" w:space="0" w:color="auto"/>
            </w:tcBorders>
            <w:noWrap/>
            <w:hideMark/>
          </w:tcPr>
          <w:p w14:paraId="2C0D2955" w14:textId="77777777" w:rsidR="003B7120" w:rsidRPr="0033055B" w:rsidRDefault="003B7120">
            <w:pPr>
              <w:rPr>
                <w:rFonts w:ascii="Calibri" w:eastAsia="Calibri" w:hAnsi="Calibri"/>
                <w:b/>
                <w:bCs/>
              </w:rPr>
            </w:pPr>
            <w:r>
              <w:rPr>
                <w:rFonts w:ascii="Calibri" w:hAnsi="Calibri"/>
                <w:b/>
                <w:bCs/>
              </w:rPr>
              <w:t>BRE-T [%]</w:t>
            </w:r>
          </w:p>
        </w:tc>
        <w:tc>
          <w:tcPr>
            <w:tcW w:w="906" w:type="dxa"/>
            <w:tcBorders>
              <w:top w:val="single" w:sz="4" w:space="0" w:color="auto"/>
              <w:left w:val="single" w:sz="4" w:space="0" w:color="auto"/>
              <w:bottom w:val="single" w:sz="4" w:space="0" w:color="auto"/>
              <w:right w:val="single" w:sz="4" w:space="0" w:color="auto"/>
            </w:tcBorders>
            <w:noWrap/>
            <w:vAlign w:val="center"/>
            <w:hideMark/>
          </w:tcPr>
          <w:p w14:paraId="0FF76D2F" w14:textId="77777777" w:rsidR="003B7120" w:rsidRPr="0033055B" w:rsidRDefault="003B7120">
            <w:pPr>
              <w:jc w:val="center"/>
              <w:rPr>
                <w:rFonts w:ascii="Calibri" w:eastAsia="Calibri" w:hAnsi="Calibri"/>
                <w:bCs/>
              </w:rPr>
            </w:pPr>
            <w:r>
              <w:rPr>
                <w:rFonts w:ascii="Calibri" w:hAnsi="Calibri"/>
                <w:bCs/>
              </w:rPr>
              <w:t>0.04%</w:t>
            </w:r>
          </w:p>
        </w:tc>
        <w:tc>
          <w:tcPr>
            <w:tcW w:w="906" w:type="dxa"/>
            <w:tcBorders>
              <w:top w:val="single" w:sz="4" w:space="0" w:color="auto"/>
              <w:left w:val="single" w:sz="4" w:space="0" w:color="auto"/>
              <w:bottom w:val="single" w:sz="4" w:space="0" w:color="auto"/>
              <w:right w:val="single" w:sz="4" w:space="0" w:color="auto"/>
            </w:tcBorders>
            <w:noWrap/>
            <w:vAlign w:val="center"/>
            <w:hideMark/>
          </w:tcPr>
          <w:p w14:paraId="22246C9B" w14:textId="77777777" w:rsidR="003B7120" w:rsidRPr="0033055B" w:rsidRDefault="003B7120">
            <w:pPr>
              <w:jc w:val="center"/>
              <w:rPr>
                <w:rFonts w:ascii="Calibri" w:eastAsia="Calibri" w:hAnsi="Calibri"/>
                <w:bCs/>
              </w:rPr>
            </w:pPr>
            <w:r>
              <w:rPr>
                <w:rFonts w:ascii="Calibri" w:hAnsi="Calibri"/>
                <w:bCs/>
              </w:rPr>
              <w:t xml:space="preserve">0.00% </w:t>
            </w:r>
          </w:p>
        </w:tc>
        <w:tc>
          <w:tcPr>
            <w:tcW w:w="906" w:type="dxa"/>
            <w:tcBorders>
              <w:top w:val="single" w:sz="4" w:space="0" w:color="auto"/>
              <w:left w:val="single" w:sz="4" w:space="0" w:color="auto"/>
              <w:bottom w:val="single" w:sz="4" w:space="0" w:color="auto"/>
              <w:right w:val="single" w:sz="4" w:space="0" w:color="auto"/>
            </w:tcBorders>
            <w:noWrap/>
            <w:vAlign w:val="center"/>
            <w:hideMark/>
          </w:tcPr>
          <w:p w14:paraId="6A67498D" w14:textId="77777777" w:rsidR="003B7120" w:rsidRPr="0033055B" w:rsidRDefault="003B7120">
            <w:pPr>
              <w:jc w:val="center"/>
              <w:rPr>
                <w:rFonts w:ascii="Calibri" w:eastAsia="Calibri" w:hAnsi="Calibri"/>
                <w:bCs/>
              </w:rPr>
            </w:pPr>
            <w:r>
              <w:rPr>
                <w:rFonts w:ascii="Calibri" w:hAnsi="Calibri"/>
                <w:bCs/>
              </w:rPr>
              <w:t xml:space="preserve">0.00% </w:t>
            </w:r>
          </w:p>
        </w:tc>
        <w:tc>
          <w:tcPr>
            <w:tcW w:w="906" w:type="dxa"/>
            <w:tcBorders>
              <w:top w:val="single" w:sz="4" w:space="0" w:color="auto"/>
              <w:left w:val="single" w:sz="4" w:space="0" w:color="auto"/>
              <w:bottom w:val="single" w:sz="4" w:space="0" w:color="auto"/>
              <w:right w:val="single" w:sz="4" w:space="0" w:color="auto"/>
            </w:tcBorders>
            <w:noWrap/>
            <w:vAlign w:val="center"/>
            <w:hideMark/>
          </w:tcPr>
          <w:p w14:paraId="177D9EDC" w14:textId="77777777" w:rsidR="003B7120" w:rsidRPr="0033055B" w:rsidRDefault="003B7120">
            <w:pPr>
              <w:jc w:val="center"/>
              <w:rPr>
                <w:rFonts w:ascii="Calibri" w:eastAsia="Calibri" w:hAnsi="Calibri"/>
                <w:bCs/>
              </w:rPr>
            </w:pPr>
            <w:r>
              <w:rPr>
                <w:rFonts w:ascii="Calibri" w:hAnsi="Calibri"/>
                <w:bCs/>
              </w:rPr>
              <w:t xml:space="preserve">1.00% </w:t>
            </w:r>
          </w:p>
        </w:tc>
        <w:tc>
          <w:tcPr>
            <w:tcW w:w="906" w:type="dxa"/>
            <w:tcBorders>
              <w:top w:val="single" w:sz="4" w:space="0" w:color="auto"/>
              <w:left w:val="single" w:sz="4" w:space="0" w:color="auto"/>
              <w:bottom w:val="single" w:sz="4" w:space="0" w:color="auto"/>
              <w:right w:val="single" w:sz="4" w:space="0" w:color="auto"/>
            </w:tcBorders>
            <w:vAlign w:val="center"/>
            <w:hideMark/>
          </w:tcPr>
          <w:p w14:paraId="49442255" w14:textId="77777777" w:rsidR="003B7120" w:rsidRPr="00D75714" w:rsidRDefault="00724C64">
            <w:pPr>
              <w:jc w:val="center"/>
              <w:rPr>
                <w:rFonts w:ascii="Calibri" w:eastAsia="Calibri" w:hAnsi="Calibri"/>
                <w:bCs/>
              </w:rPr>
            </w:pPr>
            <w:r>
              <w:rPr>
                <w:rFonts w:ascii="Calibri" w:hAnsi="Calibri"/>
                <w:bCs/>
              </w:rPr>
              <w:t xml:space="preserve">2.00% </w:t>
            </w:r>
          </w:p>
        </w:tc>
        <w:tc>
          <w:tcPr>
            <w:tcW w:w="906" w:type="dxa"/>
            <w:tcBorders>
              <w:top w:val="single" w:sz="4" w:space="0" w:color="auto"/>
              <w:left w:val="single" w:sz="4" w:space="0" w:color="auto"/>
              <w:bottom w:val="single" w:sz="4" w:space="0" w:color="auto"/>
              <w:right w:val="single" w:sz="4" w:space="0" w:color="auto"/>
            </w:tcBorders>
            <w:vAlign w:val="center"/>
            <w:hideMark/>
          </w:tcPr>
          <w:p w14:paraId="55E5EA7F" w14:textId="77777777" w:rsidR="003B7120" w:rsidRPr="0033055B" w:rsidRDefault="003B7120">
            <w:pPr>
              <w:jc w:val="center"/>
              <w:rPr>
                <w:rFonts w:ascii="Calibri" w:eastAsia="Calibri" w:hAnsi="Calibri"/>
                <w:bCs/>
              </w:rPr>
            </w:pPr>
            <w:r>
              <w:rPr>
                <w:rFonts w:ascii="Calibri" w:hAnsi="Calibri"/>
                <w:bCs/>
              </w:rPr>
              <w:t xml:space="preserve">3.00% </w:t>
            </w:r>
          </w:p>
        </w:tc>
        <w:tc>
          <w:tcPr>
            <w:tcW w:w="906" w:type="dxa"/>
            <w:tcBorders>
              <w:top w:val="single" w:sz="4" w:space="0" w:color="auto"/>
              <w:left w:val="single" w:sz="4" w:space="0" w:color="auto"/>
              <w:bottom w:val="single" w:sz="4" w:space="0" w:color="auto"/>
              <w:right w:val="single" w:sz="4" w:space="0" w:color="auto"/>
            </w:tcBorders>
            <w:vAlign w:val="center"/>
            <w:hideMark/>
          </w:tcPr>
          <w:p w14:paraId="7061FF3F" w14:textId="77777777" w:rsidR="003B7120" w:rsidRPr="0033055B" w:rsidRDefault="003B7120">
            <w:pPr>
              <w:jc w:val="center"/>
              <w:rPr>
                <w:rFonts w:ascii="Calibri" w:eastAsia="Calibri" w:hAnsi="Calibri"/>
                <w:bCs/>
              </w:rPr>
            </w:pPr>
            <w:r>
              <w:rPr>
                <w:rFonts w:ascii="Calibri" w:hAnsi="Calibri"/>
                <w:bCs/>
              </w:rPr>
              <w:t xml:space="preserve">4.00% </w:t>
            </w:r>
          </w:p>
        </w:tc>
        <w:tc>
          <w:tcPr>
            <w:tcW w:w="906" w:type="dxa"/>
            <w:tcBorders>
              <w:top w:val="single" w:sz="4" w:space="0" w:color="auto"/>
              <w:left w:val="single" w:sz="4" w:space="0" w:color="auto"/>
              <w:bottom w:val="single" w:sz="4" w:space="0" w:color="auto"/>
              <w:right w:val="single" w:sz="4" w:space="0" w:color="auto"/>
            </w:tcBorders>
            <w:vAlign w:val="center"/>
            <w:hideMark/>
          </w:tcPr>
          <w:p w14:paraId="7A8A106A" w14:textId="77777777" w:rsidR="003B7120" w:rsidRPr="0033055B" w:rsidRDefault="003B7120">
            <w:pPr>
              <w:jc w:val="center"/>
              <w:rPr>
                <w:rFonts w:ascii="Calibri" w:eastAsia="Calibri" w:hAnsi="Calibri"/>
                <w:bCs/>
              </w:rPr>
            </w:pPr>
            <w:r>
              <w:rPr>
                <w:rFonts w:ascii="Calibri" w:hAnsi="Calibri"/>
                <w:bCs/>
              </w:rPr>
              <w:t xml:space="preserve">6.00% </w:t>
            </w:r>
          </w:p>
        </w:tc>
        <w:tc>
          <w:tcPr>
            <w:tcW w:w="906" w:type="dxa"/>
            <w:tcBorders>
              <w:top w:val="single" w:sz="4" w:space="0" w:color="auto"/>
              <w:left w:val="single" w:sz="4" w:space="0" w:color="auto"/>
              <w:bottom w:val="single" w:sz="4" w:space="0" w:color="auto"/>
              <w:right w:val="single" w:sz="4" w:space="0" w:color="auto"/>
            </w:tcBorders>
            <w:vAlign w:val="center"/>
            <w:hideMark/>
          </w:tcPr>
          <w:p w14:paraId="1DA4AE84" w14:textId="77777777" w:rsidR="003B7120" w:rsidRPr="0033055B" w:rsidRDefault="003B7120">
            <w:pPr>
              <w:jc w:val="center"/>
              <w:rPr>
                <w:rFonts w:ascii="Calibri" w:eastAsia="Calibri" w:hAnsi="Calibri"/>
                <w:bCs/>
              </w:rPr>
            </w:pPr>
            <w:r>
              <w:rPr>
                <w:rFonts w:ascii="Calibri" w:hAnsi="Calibri"/>
                <w:bCs/>
              </w:rPr>
              <w:t xml:space="preserve">8.00% </w:t>
            </w:r>
          </w:p>
        </w:tc>
        <w:tc>
          <w:tcPr>
            <w:tcW w:w="907" w:type="dxa"/>
            <w:tcBorders>
              <w:top w:val="single" w:sz="4" w:space="0" w:color="auto"/>
              <w:left w:val="single" w:sz="4" w:space="0" w:color="auto"/>
              <w:bottom w:val="single" w:sz="4" w:space="0" w:color="auto"/>
              <w:right w:val="single" w:sz="4" w:space="0" w:color="auto"/>
            </w:tcBorders>
            <w:noWrap/>
            <w:vAlign w:val="center"/>
            <w:hideMark/>
          </w:tcPr>
          <w:p w14:paraId="51C7C91B" w14:textId="77777777" w:rsidR="003B7120" w:rsidRPr="0033055B" w:rsidRDefault="003B7120">
            <w:pPr>
              <w:jc w:val="center"/>
              <w:rPr>
                <w:rFonts w:ascii="Calibri" w:eastAsia="Calibri" w:hAnsi="Calibri"/>
                <w:bCs/>
              </w:rPr>
            </w:pPr>
            <w:r>
              <w:rPr>
                <w:rFonts w:ascii="Calibri" w:hAnsi="Calibri"/>
                <w:bCs/>
              </w:rPr>
              <w:t xml:space="preserve">10.00% </w:t>
            </w:r>
          </w:p>
        </w:tc>
      </w:tr>
      <w:tr w:rsidR="003B7120" w:rsidRPr="0033055B" w14:paraId="15EA69EE" w14:textId="77777777" w:rsidTr="007563F9">
        <w:trPr>
          <w:trHeight w:val="66"/>
          <w:jc w:val="center"/>
        </w:trPr>
        <w:tc>
          <w:tcPr>
            <w:tcW w:w="1861" w:type="dxa"/>
            <w:tcBorders>
              <w:top w:val="single" w:sz="4" w:space="0" w:color="auto"/>
              <w:left w:val="single" w:sz="4" w:space="0" w:color="auto"/>
              <w:bottom w:val="single" w:sz="4" w:space="0" w:color="auto"/>
              <w:right w:val="single" w:sz="4" w:space="0" w:color="auto"/>
            </w:tcBorders>
            <w:noWrap/>
            <w:hideMark/>
          </w:tcPr>
          <w:p w14:paraId="1F99C7B1" w14:textId="77777777" w:rsidR="003B7120" w:rsidRPr="0033055B" w:rsidRDefault="003B7120">
            <w:pPr>
              <w:rPr>
                <w:rFonts w:ascii="Calibri" w:eastAsia="Calibri" w:hAnsi="Calibri"/>
                <w:b/>
                <w:bCs/>
              </w:rPr>
            </w:pPr>
            <w:r>
              <w:rPr>
                <w:rFonts w:ascii="Calibri" w:hAnsi="Calibri"/>
                <w:b/>
                <w:bCs/>
              </w:rPr>
              <w:t>BRE-Gjithsej [%]- M</w:t>
            </w:r>
          </w:p>
        </w:tc>
        <w:tc>
          <w:tcPr>
            <w:tcW w:w="906" w:type="dxa"/>
            <w:tcBorders>
              <w:top w:val="single" w:sz="4" w:space="0" w:color="auto"/>
              <w:left w:val="single" w:sz="4" w:space="0" w:color="auto"/>
              <w:bottom w:val="single" w:sz="4" w:space="0" w:color="auto"/>
              <w:right w:val="single" w:sz="4" w:space="0" w:color="auto"/>
            </w:tcBorders>
            <w:noWrap/>
            <w:vAlign w:val="center"/>
            <w:hideMark/>
          </w:tcPr>
          <w:p w14:paraId="698EA2E5" w14:textId="77777777" w:rsidR="003B7120" w:rsidRPr="0033055B" w:rsidRDefault="003B7120">
            <w:pPr>
              <w:jc w:val="center"/>
              <w:rPr>
                <w:rFonts w:ascii="Calibri" w:eastAsia="Calibri" w:hAnsi="Calibri"/>
                <w:bCs/>
              </w:rPr>
            </w:pPr>
            <w:r>
              <w:rPr>
                <w:rFonts w:ascii="Calibri" w:hAnsi="Calibri"/>
                <w:bCs/>
              </w:rPr>
              <w:t xml:space="preserve">17.65% </w:t>
            </w:r>
          </w:p>
        </w:tc>
        <w:tc>
          <w:tcPr>
            <w:tcW w:w="906" w:type="dxa"/>
            <w:tcBorders>
              <w:top w:val="single" w:sz="4" w:space="0" w:color="auto"/>
              <w:left w:val="single" w:sz="4" w:space="0" w:color="auto"/>
              <w:bottom w:val="single" w:sz="4" w:space="0" w:color="auto"/>
              <w:right w:val="single" w:sz="4" w:space="0" w:color="auto"/>
            </w:tcBorders>
            <w:noWrap/>
            <w:vAlign w:val="center"/>
            <w:hideMark/>
          </w:tcPr>
          <w:p w14:paraId="200C23FA" w14:textId="77777777" w:rsidR="003B7120" w:rsidRPr="0033055B" w:rsidRDefault="003B7120">
            <w:pPr>
              <w:jc w:val="center"/>
              <w:rPr>
                <w:rFonts w:ascii="Calibri" w:eastAsia="Calibri" w:hAnsi="Calibri"/>
                <w:bCs/>
              </w:rPr>
            </w:pPr>
            <w:r>
              <w:rPr>
                <w:rFonts w:ascii="Calibri" w:hAnsi="Calibri"/>
                <w:bCs/>
              </w:rPr>
              <w:t xml:space="preserve">18.18% </w:t>
            </w:r>
          </w:p>
        </w:tc>
        <w:tc>
          <w:tcPr>
            <w:tcW w:w="906" w:type="dxa"/>
            <w:tcBorders>
              <w:top w:val="single" w:sz="4" w:space="0" w:color="auto"/>
              <w:left w:val="single" w:sz="4" w:space="0" w:color="auto"/>
              <w:bottom w:val="single" w:sz="4" w:space="0" w:color="auto"/>
              <w:right w:val="single" w:sz="4" w:space="0" w:color="auto"/>
            </w:tcBorders>
            <w:noWrap/>
            <w:vAlign w:val="center"/>
            <w:hideMark/>
          </w:tcPr>
          <w:p w14:paraId="0CCD002C" w14:textId="77777777" w:rsidR="003B7120" w:rsidRPr="0033055B" w:rsidRDefault="003B7120">
            <w:pPr>
              <w:jc w:val="center"/>
              <w:rPr>
                <w:rFonts w:ascii="Calibri" w:eastAsia="Calibri" w:hAnsi="Calibri"/>
                <w:bCs/>
              </w:rPr>
            </w:pPr>
            <w:r>
              <w:rPr>
                <w:rFonts w:ascii="Calibri" w:hAnsi="Calibri"/>
                <w:bCs/>
              </w:rPr>
              <w:t xml:space="preserve">18.25% </w:t>
            </w:r>
          </w:p>
        </w:tc>
        <w:tc>
          <w:tcPr>
            <w:tcW w:w="906" w:type="dxa"/>
            <w:tcBorders>
              <w:top w:val="single" w:sz="4" w:space="0" w:color="auto"/>
              <w:left w:val="single" w:sz="4" w:space="0" w:color="auto"/>
              <w:bottom w:val="single" w:sz="4" w:space="0" w:color="auto"/>
              <w:right w:val="single" w:sz="4" w:space="0" w:color="auto"/>
            </w:tcBorders>
            <w:noWrap/>
            <w:vAlign w:val="center"/>
            <w:hideMark/>
          </w:tcPr>
          <w:p w14:paraId="2F8C3D00" w14:textId="77777777" w:rsidR="003B7120" w:rsidRPr="0033055B" w:rsidRDefault="003B7120">
            <w:pPr>
              <w:jc w:val="center"/>
              <w:rPr>
                <w:rFonts w:ascii="Calibri" w:eastAsia="Calibri" w:hAnsi="Calibri"/>
                <w:bCs/>
              </w:rPr>
            </w:pPr>
            <w:r>
              <w:rPr>
                <w:rFonts w:ascii="Calibri" w:hAnsi="Calibri"/>
                <w:bCs/>
              </w:rPr>
              <w:t xml:space="preserve">19.29% </w:t>
            </w:r>
          </w:p>
        </w:tc>
        <w:tc>
          <w:tcPr>
            <w:tcW w:w="906" w:type="dxa"/>
            <w:tcBorders>
              <w:top w:val="single" w:sz="4" w:space="0" w:color="auto"/>
              <w:left w:val="single" w:sz="4" w:space="0" w:color="auto"/>
              <w:bottom w:val="single" w:sz="4" w:space="0" w:color="auto"/>
              <w:right w:val="single" w:sz="4" w:space="0" w:color="auto"/>
            </w:tcBorders>
            <w:vAlign w:val="center"/>
            <w:hideMark/>
          </w:tcPr>
          <w:p w14:paraId="320CF880" w14:textId="77777777" w:rsidR="003B7120" w:rsidRPr="00D75714" w:rsidRDefault="00724C64">
            <w:pPr>
              <w:jc w:val="center"/>
              <w:rPr>
                <w:rFonts w:ascii="Calibri" w:eastAsia="Calibri" w:hAnsi="Calibri"/>
                <w:bCs/>
              </w:rPr>
            </w:pPr>
            <w:r>
              <w:rPr>
                <w:rFonts w:ascii="Calibri" w:hAnsi="Calibri"/>
                <w:bCs/>
              </w:rPr>
              <w:t xml:space="preserve">19.66% </w:t>
            </w:r>
          </w:p>
        </w:tc>
        <w:tc>
          <w:tcPr>
            <w:tcW w:w="906" w:type="dxa"/>
            <w:tcBorders>
              <w:top w:val="single" w:sz="4" w:space="0" w:color="auto"/>
              <w:left w:val="single" w:sz="4" w:space="0" w:color="auto"/>
              <w:bottom w:val="single" w:sz="4" w:space="0" w:color="auto"/>
              <w:right w:val="single" w:sz="4" w:space="0" w:color="auto"/>
            </w:tcBorders>
            <w:vAlign w:val="center"/>
            <w:hideMark/>
          </w:tcPr>
          <w:p w14:paraId="36A615A0" w14:textId="77777777" w:rsidR="003B7120" w:rsidRPr="0033055B" w:rsidRDefault="003B7120">
            <w:pPr>
              <w:jc w:val="center"/>
              <w:rPr>
                <w:rFonts w:ascii="Calibri" w:eastAsia="Calibri" w:hAnsi="Calibri"/>
                <w:bCs/>
              </w:rPr>
            </w:pPr>
            <w:r>
              <w:rPr>
                <w:rFonts w:ascii="Calibri" w:hAnsi="Calibri"/>
                <w:bCs/>
              </w:rPr>
              <w:t xml:space="preserve">20.33% </w:t>
            </w:r>
          </w:p>
        </w:tc>
        <w:tc>
          <w:tcPr>
            <w:tcW w:w="906" w:type="dxa"/>
            <w:tcBorders>
              <w:top w:val="single" w:sz="4" w:space="0" w:color="auto"/>
              <w:left w:val="single" w:sz="4" w:space="0" w:color="auto"/>
              <w:bottom w:val="single" w:sz="4" w:space="0" w:color="auto"/>
              <w:right w:val="single" w:sz="4" w:space="0" w:color="auto"/>
            </w:tcBorders>
            <w:vAlign w:val="center"/>
            <w:hideMark/>
          </w:tcPr>
          <w:p w14:paraId="1C986DC6" w14:textId="77777777" w:rsidR="003B7120" w:rsidRPr="0033055B" w:rsidRDefault="003B7120">
            <w:pPr>
              <w:jc w:val="center"/>
              <w:rPr>
                <w:rFonts w:ascii="Calibri" w:eastAsia="Calibri" w:hAnsi="Calibri"/>
                <w:bCs/>
              </w:rPr>
            </w:pPr>
            <w:r>
              <w:rPr>
                <w:rFonts w:ascii="Calibri" w:hAnsi="Calibri"/>
                <w:bCs/>
              </w:rPr>
              <w:t xml:space="preserve">23.20% </w:t>
            </w:r>
          </w:p>
        </w:tc>
        <w:tc>
          <w:tcPr>
            <w:tcW w:w="906" w:type="dxa"/>
            <w:tcBorders>
              <w:top w:val="single" w:sz="4" w:space="0" w:color="auto"/>
              <w:left w:val="single" w:sz="4" w:space="0" w:color="auto"/>
              <w:bottom w:val="single" w:sz="4" w:space="0" w:color="auto"/>
              <w:right w:val="single" w:sz="4" w:space="0" w:color="auto"/>
            </w:tcBorders>
            <w:vAlign w:val="center"/>
            <w:hideMark/>
          </w:tcPr>
          <w:p w14:paraId="1EB805D2" w14:textId="77777777" w:rsidR="003B7120" w:rsidRPr="0033055B" w:rsidRDefault="003B7120">
            <w:pPr>
              <w:jc w:val="center"/>
              <w:rPr>
                <w:rFonts w:ascii="Calibri" w:eastAsia="Calibri" w:hAnsi="Calibri"/>
                <w:bCs/>
              </w:rPr>
            </w:pPr>
            <w:r>
              <w:rPr>
                <w:rFonts w:ascii="Calibri" w:hAnsi="Calibri"/>
                <w:bCs/>
              </w:rPr>
              <w:t xml:space="preserve">24.20% </w:t>
            </w:r>
          </w:p>
        </w:tc>
        <w:tc>
          <w:tcPr>
            <w:tcW w:w="906" w:type="dxa"/>
            <w:tcBorders>
              <w:top w:val="single" w:sz="4" w:space="0" w:color="auto"/>
              <w:left w:val="single" w:sz="4" w:space="0" w:color="auto"/>
              <w:bottom w:val="single" w:sz="4" w:space="0" w:color="auto"/>
              <w:right w:val="single" w:sz="4" w:space="0" w:color="auto"/>
            </w:tcBorders>
            <w:vAlign w:val="center"/>
            <w:hideMark/>
          </w:tcPr>
          <w:p w14:paraId="14C4084F" w14:textId="77777777" w:rsidR="003B7120" w:rsidRPr="0033055B" w:rsidRDefault="003B7120">
            <w:pPr>
              <w:jc w:val="center"/>
              <w:rPr>
                <w:rFonts w:ascii="Calibri" w:eastAsia="Calibri" w:hAnsi="Calibri"/>
                <w:bCs/>
              </w:rPr>
            </w:pPr>
            <w:r>
              <w:rPr>
                <w:rFonts w:ascii="Calibri" w:hAnsi="Calibri"/>
                <w:bCs/>
              </w:rPr>
              <w:t xml:space="preserve">24.42% </w:t>
            </w:r>
          </w:p>
        </w:tc>
        <w:tc>
          <w:tcPr>
            <w:tcW w:w="907" w:type="dxa"/>
            <w:tcBorders>
              <w:top w:val="single" w:sz="4" w:space="0" w:color="auto"/>
              <w:left w:val="single" w:sz="4" w:space="0" w:color="auto"/>
              <w:bottom w:val="single" w:sz="4" w:space="0" w:color="auto"/>
              <w:right w:val="single" w:sz="4" w:space="0" w:color="auto"/>
            </w:tcBorders>
            <w:noWrap/>
            <w:vAlign w:val="center"/>
            <w:hideMark/>
          </w:tcPr>
          <w:p w14:paraId="3F7F68F6" w14:textId="77777777" w:rsidR="003B7120" w:rsidRPr="0033055B" w:rsidRDefault="003B7120">
            <w:pPr>
              <w:jc w:val="center"/>
              <w:rPr>
                <w:rFonts w:ascii="Calibri" w:eastAsia="Calibri" w:hAnsi="Calibri"/>
                <w:bCs/>
              </w:rPr>
            </w:pPr>
            <w:r>
              <w:rPr>
                <w:rFonts w:ascii="Calibri" w:hAnsi="Calibri"/>
                <w:bCs/>
              </w:rPr>
              <w:t xml:space="preserve">25.00% </w:t>
            </w:r>
          </w:p>
        </w:tc>
      </w:tr>
      <w:tr w:rsidR="003B7120" w:rsidRPr="0033055B" w14:paraId="0011CB03" w14:textId="77777777" w:rsidTr="007563F9">
        <w:trPr>
          <w:trHeight w:val="66"/>
          <w:jc w:val="center"/>
        </w:trPr>
        <w:tc>
          <w:tcPr>
            <w:tcW w:w="1861" w:type="dxa"/>
            <w:tcBorders>
              <w:top w:val="single" w:sz="4" w:space="0" w:color="auto"/>
              <w:left w:val="single" w:sz="4" w:space="0" w:color="auto"/>
              <w:bottom w:val="single" w:sz="4" w:space="0" w:color="auto"/>
              <w:right w:val="single" w:sz="4" w:space="0" w:color="auto"/>
            </w:tcBorders>
            <w:noWrap/>
            <w:hideMark/>
          </w:tcPr>
          <w:p w14:paraId="5CEE8AA7" w14:textId="77777777" w:rsidR="003B7120" w:rsidRPr="0033055B" w:rsidRDefault="003B7120">
            <w:pPr>
              <w:rPr>
                <w:rFonts w:ascii="Calibri" w:eastAsia="Calibri" w:hAnsi="Calibri"/>
                <w:b/>
                <w:bCs/>
              </w:rPr>
            </w:pPr>
            <w:r>
              <w:rPr>
                <w:rFonts w:ascii="Calibri" w:hAnsi="Calibri"/>
                <w:b/>
                <w:bCs/>
              </w:rPr>
              <w:t>BRE-Gjithsej [%]- V</w:t>
            </w:r>
          </w:p>
        </w:tc>
        <w:tc>
          <w:tcPr>
            <w:tcW w:w="906" w:type="dxa"/>
            <w:tcBorders>
              <w:top w:val="single" w:sz="4" w:space="0" w:color="auto"/>
              <w:left w:val="single" w:sz="4" w:space="0" w:color="auto"/>
              <w:bottom w:val="single" w:sz="4" w:space="0" w:color="auto"/>
              <w:right w:val="single" w:sz="4" w:space="0" w:color="auto"/>
            </w:tcBorders>
            <w:noWrap/>
            <w:vAlign w:val="center"/>
            <w:hideMark/>
          </w:tcPr>
          <w:p w14:paraId="464A158A" w14:textId="77777777" w:rsidR="003B7120" w:rsidRPr="0033055B" w:rsidRDefault="003B7120">
            <w:pPr>
              <w:jc w:val="center"/>
              <w:rPr>
                <w:rFonts w:ascii="Calibri" w:eastAsia="Calibri" w:hAnsi="Calibri"/>
                <w:bCs/>
              </w:rPr>
            </w:pPr>
            <w:r>
              <w:rPr>
                <w:rFonts w:ascii="Calibri" w:hAnsi="Calibri"/>
                <w:bCs/>
              </w:rPr>
              <w:t xml:space="preserve">17.65% </w:t>
            </w:r>
          </w:p>
        </w:tc>
        <w:tc>
          <w:tcPr>
            <w:tcW w:w="906" w:type="dxa"/>
            <w:tcBorders>
              <w:top w:val="single" w:sz="4" w:space="0" w:color="auto"/>
              <w:left w:val="single" w:sz="4" w:space="0" w:color="auto"/>
              <w:bottom w:val="single" w:sz="4" w:space="0" w:color="auto"/>
              <w:right w:val="single" w:sz="4" w:space="0" w:color="auto"/>
            </w:tcBorders>
            <w:noWrap/>
            <w:vAlign w:val="center"/>
            <w:hideMark/>
          </w:tcPr>
          <w:p w14:paraId="2329260D" w14:textId="77777777" w:rsidR="003B7120" w:rsidRPr="0033055B" w:rsidRDefault="003B7120">
            <w:pPr>
              <w:pStyle w:val="Default"/>
              <w:jc w:val="right"/>
              <w:rPr>
                <w:rFonts w:ascii="Calibri" w:eastAsia="Calibri" w:hAnsi="Calibri"/>
                <w:bCs/>
                <w:color w:val="auto"/>
                <w:sz w:val="22"/>
                <w:szCs w:val="22"/>
              </w:rPr>
            </w:pPr>
            <w:r>
              <w:rPr>
                <w:rFonts w:ascii="Calibri" w:hAnsi="Calibri"/>
                <w:bCs/>
                <w:color w:val="auto"/>
                <w:sz w:val="22"/>
                <w:szCs w:val="22"/>
              </w:rPr>
              <w:t>18.18%</w:t>
            </w:r>
          </w:p>
        </w:tc>
        <w:tc>
          <w:tcPr>
            <w:tcW w:w="906" w:type="dxa"/>
            <w:tcBorders>
              <w:top w:val="single" w:sz="4" w:space="0" w:color="auto"/>
              <w:left w:val="single" w:sz="4" w:space="0" w:color="auto"/>
              <w:bottom w:val="single" w:sz="4" w:space="0" w:color="auto"/>
              <w:right w:val="single" w:sz="4" w:space="0" w:color="auto"/>
            </w:tcBorders>
            <w:noWrap/>
            <w:vAlign w:val="center"/>
            <w:hideMark/>
          </w:tcPr>
          <w:p w14:paraId="7CA58F2B" w14:textId="77777777" w:rsidR="003B7120" w:rsidRPr="0033055B" w:rsidRDefault="003B7120">
            <w:pPr>
              <w:pStyle w:val="Default"/>
              <w:jc w:val="right"/>
              <w:rPr>
                <w:rFonts w:ascii="Calibri" w:eastAsia="Calibri" w:hAnsi="Calibri"/>
                <w:bCs/>
                <w:color w:val="auto"/>
                <w:sz w:val="22"/>
                <w:szCs w:val="22"/>
              </w:rPr>
            </w:pPr>
            <w:r>
              <w:rPr>
                <w:rFonts w:ascii="Calibri" w:hAnsi="Calibri"/>
                <w:bCs/>
                <w:color w:val="auto"/>
                <w:sz w:val="22"/>
                <w:szCs w:val="22"/>
              </w:rPr>
              <w:t>18.25%</w:t>
            </w:r>
          </w:p>
        </w:tc>
        <w:tc>
          <w:tcPr>
            <w:tcW w:w="906" w:type="dxa"/>
            <w:tcBorders>
              <w:top w:val="single" w:sz="4" w:space="0" w:color="auto"/>
              <w:left w:val="single" w:sz="4" w:space="0" w:color="auto"/>
              <w:bottom w:val="single" w:sz="4" w:space="0" w:color="auto"/>
              <w:right w:val="single" w:sz="4" w:space="0" w:color="auto"/>
            </w:tcBorders>
            <w:noWrap/>
            <w:vAlign w:val="center"/>
            <w:hideMark/>
          </w:tcPr>
          <w:p w14:paraId="76726BA4" w14:textId="77777777" w:rsidR="003B7120" w:rsidRPr="0033055B" w:rsidRDefault="003B7120">
            <w:pPr>
              <w:pStyle w:val="Default"/>
              <w:jc w:val="right"/>
              <w:rPr>
                <w:rFonts w:ascii="Calibri" w:eastAsia="Calibri" w:hAnsi="Calibri"/>
                <w:bCs/>
                <w:color w:val="auto"/>
                <w:sz w:val="22"/>
                <w:szCs w:val="22"/>
              </w:rPr>
            </w:pPr>
            <w:r>
              <w:rPr>
                <w:rFonts w:ascii="Calibri" w:hAnsi="Calibri"/>
                <w:bCs/>
                <w:color w:val="auto"/>
                <w:sz w:val="22"/>
                <w:szCs w:val="22"/>
              </w:rPr>
              <w:t>20.14%</w:t>
            </w:r>
          </w:p>
        </w:tc>
        <w:tc>
          <w:tcPr>
            <w:tcW w:w="906" w:type="dxa"/>
            <w:tcBorders>
              <w:top w:val="single" w:sz="4" w:space="0" w:color="auto"/>
              <w:left w:val="single" w:sz="4" w:space="0" w:color="auto"/>
              <w:bottom w:val="single" w:sz="4" w:space="0" w:color="auto"/>
              <w:right w:val="single" w:sz="4" w:space="0" w:color="auto"/>
            </w:tcBorders>
            <w:vAlign w:val="center"/>
            <w:hideMark/>
          </w:tcPr>
          <w:p w14:paraId="1E9858B5" w14:textId="77777777" w:rsidR="003B7120" w:rsidRPr="0033055B" w:rsidRDefault="003B7120">
            <w:pPr>
              <w:pStyle w:val="Default"/>
              <w:jc w:val="right"/>
              <w:rPr>
                <w:rFonts w:ascii="Calibri" w:eastAsia="Calibri" w:hAnsi="Calibri"/>
                <w:bCs/>
                <w:color w:val="auto"/>
                <w:sz w:val="22"/>
                <w:szCs w:val="22"/>
              </w:rPr>
            </w:pPr>
            <w:r>
              <w:rPr>
                <w:rFonts w:ascii="Calibri" w:hAnsi="Calibri"/>
                <w:bCs/>
                <w:color w:val="auto"/>
                <w:sz w:val="22"/>
                <w:szCs w:val="22"/>
              </w:rPr>
              <w:t>22.80%</w:t>
            </w:r>
          </w:p>
        </w:tc>
        <w:tc>
          <w:tcPr>
            <w:tcW w:w="906" w:type="dxa"/>
            <w:tcBorders>
              <w:top w:val="single" w:sz="4" w:space="0" w:color="auto"/>
              <w:left w:val="single" w:sz="4" w:space="0" w:color="auto"/>
              <w:bottom w:val="single" w:sz="4" w:space="0" w:color="auto"/>
              <w:right w:val="single" w:sz="4" w:space="0" w:color="auto"/>
            </w:tcBorders>
            <w:vAlign w:val="center"/>
            <w:hideMark/>
          </w:tcPr>
          <w:p w14:paraId="558FE168" w14:textId="77777777" w:rsidR="003B7120" w:rsidRPr="0033055B" w:rsidRDefault="003B7120">
            <w:pPr>
              <w:pStyle w:val="Default"/>
              <w:jc w:val="right"/>
              <w:rPr>
                <w:rFonts w:ascii="Calibri" w:eastAsia="Calibri" w:hAnsi="Calibri"/>
                <w:bCs/>
                <w:color w:val="auto"/>
                <w:sz w:val="22"/>
                <w:szCs w:val="22"/>
              </w:rPr>
            </w:pPr>
            <w:r>
              <w:rPr>
                <w:rFonts w:ascii="Calibri" w:hAnsi="Calibri"/>
                <w:bCs/>
                <w:color w:val="auto"/>
                <w:sz w:val="22"/>
                <w:szCs w:val="22"/>
              </w:rPr>
              <w:t>23.57%</w:t>
            </w:r>
          </w:p>
        </w:tc>
        <w:tc>
          <w:tcPr>
            <w:tcW w:w="906" w:type="dxa"/>
            <w:tcBorders>
              <w:top w:val="single" w:sz="4" w:space="0" w:color="auto"/>
              <w:left w:val="single" w:sz="4" w:space="0" w:color="auto"/>
              <w:bottom w:val="single" w:sz="4" w:space="0" w:color="auto"/>
              <w:right w:val="single" w:sz="4" w:space="0" w:color="auto"/>
            </w:tcBorders>
            <w:vAlign w:val="center"/>
            <w:hideMark/>
          </w:tcPr>
          <w:p w14:paraId="0BC741D4" w14:textId="77777777" w:rsidR="003B7120" w:rsidRPr="0033055B" w:rsidRDefault="003B7120">
            <w:pPr>
              <w:pStyle w:val="Default"/>
              <w:jc w:val="right"/>
              <w:rPr>
                <w:rFonts w:ascii="Calibri" w:eastAsia="Calibri" w:hAnsi="Calibri"/>
                <w:bCs/>
                <w:color w:val="auto"/>
                <w:sz w:val="22"/>
                <w:szCs w:val="22"/>
              </w:rPr>
            </w:pPr>
            <w:r>
              <w:rPr>
                <w:rFonts w:ascii="Calibri" w:hAnsi="Calibri"/>
                <w:bCs/>
                <w:color w:val="auto"/>
                <w:sz w:val="22"/>
                <w:szCs w:val="22"/>
              </w:rPr>
              <w:t>26.45%</w:t>
            </w:r>
          </w:p>
        </w:tc>
        <w:tc>
          <w:tcPr>
            <w:tcW w:w="906" w:type="dxa"/>
            <w:tcBorders>
              <w:top w:val="single" w:sz="4" w:space="0" w:color="auto"/>
              <w:left w:val="single" w:sz="4" w:space="0" w:color="auto"/>
              <w:bottom w:val="single" w:sz="4" w:space="0" w:color="auto"/>
              <w:right w:val="single" w:sz="4" w:space="0" w:color="auto"/>
            </w:tcBorders>
            <w:vAlign w:val="center"/>
            <w:hideMark/>
          </w:tcPr>
          <w:p w14:paraId="76351CD5" w14:textId="77777777" w:rsidR="003B7120" w:rsidRPr="0033055B" w:rsidRDefault="003B7120">
            <w:pPr>
              <w:pStyle w:val="Default"/>
              <w:jc w:val="right"/>
              <w:rPr>
                <w:rFonts w:ascii="Calibri" w:eastAsia="Calibri" w:hAnsi="Calibri"/>
                <w:bCs/>
                <w:color w:val="auto"/>
                <w:sz w:val="22"/>
                <w:szCs w:val="22"/>
              </w:rPr>
            </w:pPr>
            <w:r>
              <w:rPr>
                <w:rFonts w:ascii="Calibri" w:hAnsi="Calibri"/>
                <w:bCs/>
                <w:color w:val="auto"/>
                <w:sz w:val="22"/>
                <w:szCs w:val="22"/>
              </w:rPr>
              <w:t>27.58%</w:t>
            </w:r>
          </w:p>
        </w:tc>
        <w:tc>
          <w:tcPr>
            <w:tcW w:w="906" w:type="dxa"/>
            <w:tcBorders>
              <w:top w:val="single" w:sz="4" w:space="0" w:color="auto"/>
              <w:left w:val="single" w:sz="4" w:space="0" w:color="auto"/>
              <w:bottom w:val="single" w:sz="4" w:space="0" w:color="auto"/>
              <w:right w:val="single" w:sz="4" w:space="0" w:color="auto"/>
            </w:tcBorders>
            <w:vAlign w:val="center"/>
            <w:hideMark/>
          </w:tcPr>
          <w:p w14:paraId="6EA007C5" w14:textId="77777777" w:rsidR="003B7120" w:rsidRPr="0033055B" w:rsidRDefault="003B7120">
            <w:pPr>
              <w:pStyle w:val="Default"/>
              <w:jc w:val="right"/>
              <w:rPr>
                <w:rFonts w:ascii="Calibri" w:eastAsia="Calibri" w:hAnsi="Calibri"/>
                <w:bCs/>
                <w:color w:val="auto"/>
                <w:sz w:val="22"/>
                <w:szCs w:val="22"/>
              </w:rPr>
            </w:pPr>
            <w:r>
              <w:rPr>
                <w:rFonts w:ascii="Calibri" w:hAnsi="Calibri"/>
                <w:bCs/>
                <w:color w:val="auto"/>
                <w:sz w:val="22"/>
                <w:szCs w:val="22"/>
              </w:rPr>
              <w:t>28.09%</w:t>
            </w:r>
          </w:p>
        </w:tc>
        <w:tc>
          <w:tcPr>
            <w:tcW w:w="907" w:type="dxa"/>
            <w:tcBorders>
              <w:top w:val="single" w:sz="4" w:space="0" w:color="auto"/>
              <w:left w:val="single" w:sz="4" w:space="0" w:color="auto"/>
              <w:bottom w:val="single" w:sz="4" w:space="0" w:color="auto"/>
              <w:right w:val="single" w:sz="4" w:space="0" w:color="auto"/>
            </w:tcBorders>
            <w:noWrap/>
            <w:vAlign w:val="center"/>
            <w:hideMark/>
          </w:tcPr>
          <w:p w14:paraId="0C56FC18" w14:textId="77777777" w:rsidR="003B7120" w:rsidRPr="0033055B" w:rsidRDefault="003B7120">
            <w:pPr>
              <w:jc w:val="center"/>
              <w:rPr>
                <w:rFonts w:ascii="Calibri" w:eastAsia="Calibri" w:hAnsi="Calibri"/>
                <w:bCs/>
              </w:rPr>
            </w:pPr>
            <w:r>
              <w:rPr>
                <w:rFonts w:ascii="Calibri" w:hAnsi="Calibri"/>
                <w:bCs/>
              </w:rPr>
              <w:t xml:space="preserve">29.47% </w:t>
            </w:r>
          </w:p>
        </w:tc>
      </w:tr>
    </w:tbl>
    <w:p w14:paraId="45A5DE99" w14:textId="498B1D7F" w:rsidR="003B7120" w:rsidRPr="0033055B" w:rsidRDefault="00A852A5" w:rsidP="003B7120">
      <w:pPr>
        <w:spacing w:line="256" w:lineRule="auto"/>
        <w:rPr>
          <w:rFonts w:ascii="Calibri" w:eastAsia="Calibri" w:hAnsi="Calibri"/>
        </w:rPr>
      </w:pPr>
      <w:r>
        <w:rPr>
          <w:rFonts w:ascii="Calibri" w:hAnsi="Calibri"/>
          <w:i/>
        </w:rPr>
        <w:t>Burimi:</w:t>
      </w:r>
      <w:r w:rsidR="004547BD">
        <w:rPr>
          <w:rFonts w:ascii="Calibri" w:hAnsi="Calibri"/>
          <w:i/>
          <w:color w:val="FF0000"/>
        </w:rPr>
        <w:t xml:space="preserve"> </w:t>
      </w:r>
      <w:r w:rsidR="004547BD" w:rsidRPr="000E68E6">
        <w:rPr>
          <w:rFonts w:ascii="Calibri" w:hAnsi="Calibri"/>
          <w:i/>
        </w:rPr>
        <w:t>PKVBRE</w:t>
      </w:r>
      <w:r w:rsidRPr="000E68E6">
        <w:rPr>
          <w:rFonts w:ascii="Calibri" w:hAnsi="Calibri"/>
          <w:i/>
        </w:rPr>
        <w:t xml:space="preserve">, </w:t>
      </w:r>
      <w:r>
        <w:rPr>
          <w:rFonts w:ascii="Calibri" w:hAnsi="Calibri"/>
          <w:i/>
        </w:rPr>
        <w:t>2013</w:t>
      </w:r>
      <w:r>
        <w:rPr>
          <w:rFonts w:ascii="Calibri" w:hAnsi="Calibri"/>
        </w:rPr>
        <w:t>.</w:t>
      </w:r>
    </w:p>
    <w:p w14:paraId="07596961" w14:textId="489BB5CD" w:rsidR="003B7120" w:rsidRPr="0033055B" w:rsidRDefault="003B7120" w:rsidP="007563F9">
      <w:pPr>
        <w:spacing w:line="256" w:lineRule="auto"/>
        <w:jc w:val="both"/>
        <w:rPr>
          <w:rFonts w:ascii="Calibri" w:eastAsia="Calibri" w:hAnsi="Calibri"/>
        </w:rPr>
      </w:pPr>
      <w:r>
        <w:rPr>
          <w:rFonts w:ascii="Calibri" w:hAnsi="Calibri"/>
        </w:rPr>
        <w:t>Sipas rezultateve të prezantuara, caku për BRE-NeF është arritur në masë të madhe (43.5% aktuale 2015  Kundrejt planit për 2015: 44.77%). Përmbushja e cakut obligativ total prej 25% nuk është e arritshme me politikat e përcakt</w:t>
      </w:r>
      <w:r w:rsidR="004547BD">
        <w:rPr>
          <w:rFonts w:ascii="Calibri" w:hAnsi="Calibri"/>
        </w:rPr>
        <w:t>uara me versionin 2013 të PKVBRE</w:t>
      </w:r>
      <w:r>
        <w:rPr>
          <w:rFonts w:ascii="Calibri" w:hAnsi="Calibri"/>
        </w:rPr>
        <w:t>-së, si dhe masat plotësuese të zbatuara deri më 2018 (aktuale 2015: 18.0% kundrejt planit për 2015: 19.66%) me dizajnimin dhe zbatimin e masave dhe politikave specifike.</w:t>
      </w:r>
    </w:p>
    <w:p w14:paraId="0C2C6E88" w14:textId="7025B775" w:rsidR="00F91585" w:rsidRPr="0033055B" w:rsidRDefault="00F91585" w:rsidP="007563F9">
      <w:pPr>
        <w:jc w:val="both"/>
        <w:rPr>
          <w:rFonts w:ascii="Calibri" w:eastAsia="Calibri" w:hAnsi="Calibri"/>
        </w:rPr>
      </w:pPr>
      <w:r>
        <w:rPr>
          <w:rFonts w:ascii="Calibri" w:hAnsi="Calibri"/>
        </w:rPr>
        <w:t>Devijime të konsiderueshme vërehen edhe për BRE-E (aktuale 2015: 1.8% kundrejt planit për 2015: 5.62%) si dhe caqeve BRE-T (aktuale 2015: 0% kundrejt planit për 2015: 2.00%) në krahasim me planin fillestar, duke penguar në masë të madhe arritjen e cakut BRE-Total duke marrë parasysh kohën e kufizuar për arritjen e synimeve BRE deri në fund të vitit 2020.</w:t>
      </w:r>
    </w:p>
    <w:p w14:paraId="1F99050A" w14:textId="2ACFFE07" w:rsidR="008E4D2E" w:rsidRPr="0033055B" w:rsidRDefault="008E4D2E" w:rsidP="007563F9">
      <w:pPr>
        <w:jc w:val="both"/>
        <w:rPr>
          <w:rFonts w:ascii="Calibri" w:eastAsia="Calibri" w:hAnsi="Calibri"/>
        </w:rPr>
      </w:pPr>
      <w:r>
        <w:rPr>
          <w:rFonts w:ascii="Calibri" w:hAnsi="Calibri"/>
        </w:rPr>
        <w:t>Kështu, synimi i këtij shqyrtimi të</w:t>
      </w:r>
      <w:r w:rsidR="009A725A">
        <w:rPr>
          <w:rFonts w:ascii="Calibri" w:hAnsi="Calibri"/>
          <w:color w:val="FF0000"/>
        </w:rPr>
        <w:t xml:space="preserve"> </w:t>
      </w:r>
      <w:r w:rsidR="009A725A" w:rsidRPr="000E68E6">
        <w:rPr>
          <w:rFonts w:ascii="Calibri" w:hAnsi="Calibri"/>
        </w:rPr>
        <w:t>PKVBRE</w:t>
      </w:r>
      <w:r>
        <w:rPr>
          <w:rFonts w:ascii="Calibri" w:hAnsi="Calibri"/>
        </w:rPr>
        <w:t>-së është identifikimi i një skenari pajtueshmërie, ashtu që të përmbushë caqet ob</w:t>
      </w:r>
      <w:r w:rsidR="009A725A">
        <w:rPr>
          <w:rFonts w:ascii="Calibri" w:hAnsi="Calibri"/>
        </w:rPr>
        <w:t>ligative në lidhje me pjesëmarrjen</w:t>
      </w:r>
      <w:r>
        <w:rPr>
          <w:rFonts w:ascii="Calibri" w:hAnsi="Calibri"/>
        </w:rPr>
        <w:t xml:space="preserve"> e BRE-ve në Kosovë.</w:t>
      </w:r>
    </w:p>
    <w:p w14:paraId="4C631BDC" w14:textId="77777777" w:rsidR="00A72E72" w:rsidRPr="0033055B" w:rsidRDefault="00A72E72" w:rsidP="005E4A0E">
      <w:pPr>
        <w:spacing w:before="120" w:after="120" w:line="240" w:lineRule="auto"/>
        <w:jc w:val="both"/>
        <w:rPr>
          <w:rFonts w:cstheme="minorHAnsi"/>
          <w:lang w:val="en-GB"/>
        </w:rPr>
      </w:pPr>
    </w:p>
    <w:p w14:paraId="1130AEDA" w14:textId="77777777" w:rsidR="00A72E72" w:rsidRPr="0033055B" w:rsidRDefault="00A72E72" w:rsidP="005E4A0E">
      <w:pPr>
        <w:spacing w:before="120" w:after="120" w:line="240" w:lineRule="auto"/>
        <w:jc w:val="both"/>
        <w:rPr>
          <w:rFonts w:cstheme="minorHAnsi"/>
          <w:lang w:val="en-GB"/>
        </w:rPr>
        <w:sectPr w:rsidR="00A72E72" w:rsidRPr="0033055B" w:rsidSect="006B66E4">
          <w:pgSz w:w="12240" w:h="15840"/>
          <w:pgMar w:top="1440" w:right="1440" w:bottom="1440" w:left="1440" w:header="720" w:footer="720" w:gutter="0"/>
          <w:pgNumType w:start="1"/>
          <w:cols w:space="720"/>
          <w:docGrid w:linePitch="360"/>
        </w:sectPr>
      </w:pPr>
    </w:p>
    <w:p w14:paraId="13B09234" w14:textId="4FCE45BC" w:rsidR="00100A82" w:rsidRPr="0033055B" w:rsidRDefault="009A725A" w:rsidP="00455E08">
      <w:pPr>
        <w:pStyle w:val="Heading1"/>
        <w:spacing w:after="240" w:line="240" w:lineRule="auto"/>
        <w:rPr>
          <w:rFonts w:asciiTheme="minorHAnsi" w:hAnsiTheme="minorHAnsi" w:cstheme="minorHAnsi"/>
          <w:b/>
          <w:color w:val="auto"/>
          <w:sz w:val="28"/>
          <w:szCs w:val="28"/>
        </w:rPr>
      </w:pPr>
      <w:bookmarkStart w:id="13" w:name="_Toc518377678"/>
      <w:r>
        <w:rPr>
          <w:rFonts w:asciiTheme="minorHAnsi" w:hAnsiTheme="minorHAnsi"/>
          <w:b/>
          <w:color w:val="auto"/>
          <w:sz w:val="28"/>
          <w:szCs w:val="28"/>
        </w:rPr>
        <w:t>2. PARASHIKIMI I KONSUMIT FINAL TË</w:t>
      </w:r>
      <w:r w:rsidR="00100A82">
        <w:rPr>
          <w:rFonts w:asciiTheme="minorHAnsi" w:hAnsiTheme="minorHAnsi"/>
          <w:b/>
          <w:color w:val="auto"/>
          <w:sz w:val="28"/>
          <w:szCs w:val="28"/>
        </w:rPr>
        <w:t xml:space="preserve"> ENERGJISË 2010-2020</w:t>
      </w:r>
      <w:bookmarkEnd w:id="13"/>
    </w:p>
    <w:p w14:paraId="77E5806C" w14:textId="4B6040D1" w:rsidR="00100A82" w:rsidRPr="0033055B" w:rsidRDefault="00343EE1" w:rsidP="005E4A0E">
      <w:pPr>
        <w:spacing w:before="120" w:after="120" w:line="240" w:lineRule="auto"/>
        <w:jc w:val="both"/>
        <w:rPr>
          <w:rFonts w:cstheme="minorHAnsi"/>
        </w:rPr>
      </w:pPr>
      <w:r>
        <w:t xml:space="preserve">Vlerësimet e konsumit bruto përfundimtar të energjisë në periudhën deri më 2020 janë prezantuar në Tabelën 4, si dhe në bazë të dokumentit të </w:t>
      </w:r>
      <w:r w:rsidRPr="000E68E6">
        <w:t xml:space="preserve">quajtur </w:t>
      </w:r>
      <w:r w:rsidR="009A725A" w:rsidRPr="000E68E6">
        <w:t xml:space="preserve">Parashikimi </w:t>
      </w:r>
      <w:r w:rsidR="009A725A">
        <w:t>i Kërkesës për Energji</w:t>
      </w:r>
      <w:r>
        <w:t>, që mbulon periudhën 2013-2022.</w:t>
      </w:r>
    </w:p>
    <w:p w14:paraId="3A7C9D88" w14:textId="02596348" w:rsidR="00995F89" w:rsidRPr="0033055B" w:rsidRDefault="00ED4F3F" w:rsidP="005E4A0E">
      <w:pPr>
        <w:spacing w:before="120" w:after="120" w:line="240" w:lineRule="auto"/>
        <w:jc w:val="both"/>
        <w:rPr>
          <w:rFonts w:cstheme="minorHAnsi"/>
        </w:rPr>
      </w:pPr>
      <w:r>
        <w:t>Shifrat për konsumin final bruto të energjisë deri më 2015 janë nxjerrë nga kalkulimet me veglën SHARES, duke marrë parasysh të dhënat zyrtare statistikore, derisa vlerësimet deri më 2020 janë bazuar në evoluimin e shifrave korrespond</w:t>
      </w:r>
      <w:r w:rsidR="009A725A">
        <w:t xml:space="preserve">uese, siç përcaktohet me PKVBRE </w:t>
      </w:r>
      <w:r>
        <w:t>në ekzistues.</w:t>
      </w:r>
    </w:p>
    <w:p w14:paraId="59B42C44" w14:textId="77777777" w:rsidR="00995F89" w:rsidRPr="0033055B" w:rsidRDefault="00995F89" w:rsidP="005E4A0E">
      <w:pPr>
        <w:spacing w:before="120" w:after="120" w:line="240" w:lineRule="auto"/>
        <w:jc w:val="both"/>
        <w:rPr>
          <w:rFonts w:cstheme="minorHAnsi"/>
          <w:lang w:val="en-GB"/>
        </w:rPr>
      </w:pPr>
    </w:p>
    <w:p w14:paraId="70131FF1" w14:textId="77777777" w:rsidR="00995F89" w:rsidRPr="0033055B" w:rsidRDefault="00995F89" w:rsidP="005E4A0E">
      <w:pPr>
        <w:spacing w:before="120" w:after="120" w:line="240" w:lineRule="auto"/>
        <w:jc w:val="both"/>
        <w:rPr>
          <w:rFonts w:cstheme="minorHAnsi"/>
          <w:lang w:val="en-GB"/>
        </w:rPr>
      </w:pPr>
    </w:p>
    <w:p w14:paraId="28BD4854" w14:textId="77777777" w:rsidR="00160C6D" w:rsidRPr="0033055B" w:rsidRDefault="00160C6D" w:rsidP="005E4A0E">
      <w:pPr>
        <w:spacing w:before="120" w:after="120" w:line="240" w:lineRule="auto"/>
        <w:jc w:val="both"/>
        <w:rPr>
          <w:rFonts w:cstheme="minorHAnsi"/>
          <w:lang w:val="en-GB"/>
        </w:rPr>
        <w:sectPr w:rsidR="00160C6D" w:rsidRPr="0033055B">
          <w:pgSz w:w="12240" w:h="15840"/>
          <w:pgMar w:top="1440" w:right="1440" w:bottom="1440" w:left="1440" w:header="720" w:footer="720" w:gutter="0"/>
          <w:cols w:space="720"/>
          <w:docGrid w:linePitch="360"/>
        </w:sectPr>
      </w:pPr>
    </w:p>
    <w:tbl>
      <w:tblPr>
        <w:tblpPr w:leftFromText="180" w:rightFromText="180" w:tblpXSpec="center" w:tblpY="570"/>
        <w:tblW w:w="13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5"/>
        <w:gridCol w:w="1833"/>
        <w:gridCol w:w="1833"/>
        <w:gridCol w:w="1833"/>
        <w:gridCol w:w="1833"/>
        <w:gridCol w:w="1833"/>
        <w:gridCol w:w="1833"/>
      </w:tblGrid>
      <w:tr w:rsidR="00F91663" w:rsidRPr="0033055B" w14:paraId="4E37D8B8" w14:textId="77777777" w:rsidTr="00343EE1">
        <w:trPr>
          <w:trHeight w:val="77"/>
          <w:jc w:val="center"/>
        </w:trPr>
        <w:tc>
          <w:tcPr>
            <w:tcW w:w="2695" w:type="dxa"/>
            <w:vMerge w:val="restart"/>
            <w:shd w:val="clear" w:color="auto" w:fill="D9D9D9" w:themeFill="background1" w:themeFillShade="D9"/>
            <w:vAlign w:val="center"/>
          </w:tcPr>
          <w:p w14:paraId="008C8806" w14:textId="77777777" w:rsidR="00F91663" w:rsidRPr="0033055B" w:rsidRDefault="00F91663" w:rsidP="00FF3FF2">
            <w:pPr>
              <w:pStyle w:val="NormalWeb"/>
              <w:snapToGrid w:val="0"/>
              <w:spacing w:before="0" w:after="0"/>
              <w:jc w:val="both"/>
              <w:rPr>
                <w:rStyle w:val="italic1"/>
                <w:rFonts w:asciiTheme="minorHAnsi" w:hAnsiTheme="minorHAnsi" w:cstheme="minorHAnsi"/>
                <w:b/>
                <w:bCs/>
                <w:i w:val="0"/>
                <w:sz w:val="22"/>
                <w:szCs w:val="22"/>
              </w:rPr>
            </w:pPr>
          </w:p>
        </w:tc>
        <w:tc>
          <w:tcPr>
            <w:tcW w:w="1833" w:type="dxa"/>
            <w:shd w:val="clear" w:color="auto" w:fill="D9D9D9" w:themeFill="background1" w:themeFillShade="D9"/>
            <w:vAlign w:val="center"/>
          </w:tcPr>
          <w:p w14:paraId="2A4B08ED" w14:textId="77777777" w:rsidR="00F91663" w:rsidRPr="0033055B" w:rsidRDefault="00F91663" w:rsidP="00842B12">
            <w:pPr>
              <w:pStyle w:val="NormalWeb"/>
              <w:snapToGrid w:val="0"/>
              <w:spacing w:before="0" w:after="0"/>
              <w:jc w:val="center"/>
              <w:rPr>
                <w:rStyle w:val="italic1"/>
                <w:rFonts w:asciiTheme="minorHAnsi" w:hAnsiTheme="minorHAnsi" w:cstheme="minorHAnsi"/>
                <w:b/>
                <w:bCs/>
                <w:i w:val="0"/>
                <w:sz w:val="22"/>
                <w:szCs w:val="22"/>
              </w:rPr>
            </w:pPr>
            <w:r>
              <w:rPr>
                <w:rStyle w:val="italic1"/>
                <w:rFonts w:asciiTheme="minorHAnsi" w:hAnsiTheme="minorHAnsi"/>
                <w:b/>
                <w:bCs/>
                <w:i w:val="0"/>
                <w:sz w:val="22"/>
                <w:szCs w:val="22"/>
              </w:rPr>
              <w:t>2009</w:t>
            </w:r>
          </w:p>
        </w:tc>
        <w:tc>
          <w:tcPr>
            <w:tcW w:w="1833" w:type="dxa"/>
            <w:shd w:val="clear" w:color="auto" w:fill="D9D9D9" w:themeFill="background1" w:themeFillShade="D9"/>
            <w:vAlign w:val="center"/>
          </w:tcPr>
          <w:p w14:paraId="1BA22F2A" w14:textId="77777777" w:rsidR="00F91663" w:rsidRPr="0033055B" w:rsidRDefault="00F91663" w:rsidP="0028746D">
            <w:pPr>
              <w:pStyle w:val="NormalWeb"/>
              <w:snapToGrid w:val="0"/>
              <w:spacing w:before="0" w:after="0"/>
              <w:jc w:val="center"/>
              <w:rPr>
                <w:rStyle w:val="italic1"/>
                <w:rFonts w:asciiTheme="minorHAnsi" w:hAnsiTheme="minorHAnsi" w:cstheme="minorHAnsi"/>
                <w:b/>
                <w:bCs/>
                <w:i w:val="0"/>
                <w:sz w:val="22"/>
                <w:szCs w:val="22"/>
              </w:rPr>
            </w:pPr>
            <w:r>
              <w:rPr>
                <w:rStyle w:val="italic1"/>
                <w:rFonts w:asciiTheme="minorHAnsi" w:hAnsiTheme="minorHAnsi"/>
                <w:b/>
                <w:bCs/>
                <w:i w:val="0"/>
                <w:sz w:val="22"/>
                <w:szCs w:val="22"/>
              </w:rPr>
              <w:t>2010</w:t>
            </w:r>
          </w:p>
        </w:tc>
        <w:tc>
          <w:tcPr>
            <w:tcW w:w="1833" w:type="dxa"/>
            <w:shd w:val="clear" w:color="auto" w:fill="D9D9D9" w:themeFill="background1" w:themeFillShade="D9"/>
            <w:vAlign w:val="center"/>
          </w:tcPr>
          <w:p w14:paraId="37F80CAD" w14:textId="77777777" w:rsidR="00F91663" w:rsidRPr="0033055B" w:rsidRDefault="00F91663" w:rsidP="00782666">
            <w:pPr>
              <w:pStyle w:val="NormalWeb"/>
              <w:snapToGrid w:val="0"/>
              <w:spacing w:before="0" w:after="0"/>
              <w:jc w:val="center"/>
              <w:rPr>
                <w:rStyle w:val="italic1"/>
                <w:rFonts w:asciiTheme="minorHAnsi" w:hAnsiTheme="minorHAnsi" w:cstheme="minorHAnsi"/>
                <w:b/>
                <w:bCs/>
                <w:i w:val="0"/>
                <w:sz w:val="22"/>
                <w:szCs w:val="22"/>
              </w:rPr>
            </w:pPr>
            <w:r>
              <w:rPr>
                <w:rStyle w:val="italic1"/>
                <w:rFonts w:asciiTheme="minorHAnsi" w:hAnsiTheme="minorHAnsi"/>
                <w:b/>
                <w:bCs/>
                <w:i w:val="0"/>
                <w:sz w:val="22"/>
                <w:szCs w:val="22"/>
              </w:rPr>
              <w:t>2011</w:t>
            </w:r>
          </w:p>
        </w:tc>
        <w:tc>
          <w:tcPr>
            <w:tcW w:w="1833" w:type="dxa"/>
            <w:shd w:val="clear" w:color="auto" w:fill="D9D9D9" w:themeFill="background1" w:themeFillShade="D9"/>
            <w:vAlign w:val="center"/>
          </w:tcPr>
          <w:p w14:paraId="420B23B3" w14:textId="77777777" w:rsidR="00F91663" w:rsidRPr="0033055B" w:rsidRDefault="00F91663" w:rsidP="00331695">
            <w:pPr>
              <w:pStyle w:val="NormalWeb"/>
              <w:snapToGrid w:val="0"/>
              <w:spacing w:before="0" w:after="0"/>
              <w:jc w:val="center"/>
              <w:rPr>
                <w:rStyle w:val="italic1"/>
                <w:rFonts w:asciiTheme="minorHAnsi" w:hAnsiTheme="minorHAnsi" w:cstheme="minorHAnsi"/>
                <w:b/>
                <w:bCs/>
                <w:i w:val="0"/>
                <w:sz w:val="22"/>
                <w:szCs w:val="22"/>
              </w:rPr>
            </w:pPr>
            <w:r>
              <w:rPr>
                <w:rStyle w:val="italic1"/>
                <w:rFonts w:asciiTheme="minorHAnsi" w:hAnsiTheme="minorHAnsi"/>
                <w:b/>
                <w:bCs/>
                <w:i w:val="0"/>
                <w:sz w:val="22"/>
                <w:szCs w:val="22"/>
              </w:rPr>
              <w:t>2012</w:t>
            </w:r>
          </w:p>
        </w:tc>
        <w:tc>
          <w:tcPr>
            <w:tcW w:w="1833" w:type="dxa"/>
            <w:shd w:val="clear" w:color="auto" w:fill="D9D9D9" w:themeFill="background1" w:themeFillShade="D9"/>
            <w:vAlign w:val="center"/>
          </w:tcPr>
          <w:p w14:paraId="406559E7" w14:textId="77777777" w:rsidR="00F91663" w:rsidRPr="0033055B" w:rsidRDefault="00F91663" w:rsidP="00C12D26">
            <w:pPr>
              <w:pStyle w:val="NormalWeb"/>
              <w:snapToGrid w:val="0"/>
              <w:spacing w:before="0" w:after="0"/>
              <w:jc w:val="center"/>
              <w:rPr>
                <w:rStyle w:val="italic1"/>
                <w:rFonts w:asciiTheme="minorHAnsi" w:hAnsiTheme="minorHAnsi" w:cstheme="minorHAnsi"/>
                <w:b/>
                <w:bCs/>
                <w:i w:val="0"/>
                <w:sz w:val="22"/>
                <w:szCs w:val="22"/>
              </w:rPr>
            </w:pPr>
            <w:r>
              <w:rPr>
                <w:rStyle w:val="italic1"/>
                <w:rFonts w:asciiTheme="minorHAnsi" w:hAnsiTheme="minorHAnsi"/>
                <w:b/>
                <w:bCs/>
                <w:i w:val="0"/>
                <w:sz w:val="22"/>
                <w:szCs w:val="22"/>
              </w:rPr>
              <w:t>2013</w:t>
            </w:r>
          </w:p>
        </w:tc>
        <w:tc>
          <w:tcPr>
            <w:tcW w:w="1833" w:type="dxa"/>
            <w:shd w:val="clear" w:color="auto" w:fill="D9D9D9" w:themeFill="background1" w:themeFillShade="D9"/>
            <w:vAlign w:val="center"/>
          </w:tcPr>
          <w:p w14:paraId="0B36BE86" w14:textId="77777777" w:rsidR="00F91663" w:rsidRPr="0033055B" w:rsidRDefault="00F91663" w:rsidP="00144A17">
            <w:pPr>
              <w:pStyle w:val="NormalWeb"/>
              <w:snapToGrid w:val="0"/>
              <w:spacing w:before="0" w:after="0"/>
              <w:jc w:val="center"/>
              <w:rPr>
                <w:rStyle w:val="italic1"/>
                <w:rFonts w:asciiTheme="minorHAnsi" w:hAnsiTheme="minorHAnsi" w:cstheme="minorHAnsi"/>
                <w:b/>
                <w:bCs/>
                <w:i w:val="0"/>
                <w:sz w:val="22"/>
                <w:szCs w:val="22"/>
              </w:rPr>
            </w:pPr>
            <w:r>
              <w:rPr>
                <w:rStyle w:val="italic1"/>
                <w:rFonts w:asciiTheme="minorHAnsi" w:hAnsiTheme="minorHAnsi"/>
                <w:b/>
                <w:bCs/>
                <w:i w:val="0"/>
                <w:sz w:val="22"/>
                <w:szCs w:val="22"/>
              </w:rPr>
              <w:t>2014</w:t>
            </w:r>
          </w:p>
        </w:tc>
      </w:tr>
      <w:tr w:rsidR="00A72E72" w:rsidRPr="0033055B" w14:paraId="2F6C5462" w14:textId="77777777" w:rsidTr="00601279">
        <w:trPr>
          <w:trHeight w:val="70"/>
          <w:jc w:val="center"/>
        </w:trPr>
        <w:tc>
          <w:tcPr>
            <w:tcW w:w="2695" w:type="dxa"/>
            <w:vMerge/>
            <w:shd w:val="clear" w:color="auto" w:fill="D9D9D9" w:themeFill="background1" w:themeFillShade="D9"/>
            <w:vAlign w:val="center"/>
          </w:tcPr>
          <w:p w14:paraId="4F81F3F8" w14:textId="77777777" w:rsidR="00A72E72" w:rsidRPr="0033055B" w:rsidRDefault="00A72E72" w:rsidP="007563F9">
            <w:pPr>
              <w:pStyle w:val="NormalWeb"/>
              <w:snapToGrid w:val="0"/>
              <w:spacing w:before="0" w:after="0"/>
              <w:jc w:val="both"/>
              <w:rPr>
                <w:rStyle w:val="italic1"/>
                <w:rFonts w:asciiTheme="minorHAnsi" w:hAnsiTheme="minorHAnsi" w:cstheme="minorHAnsi"/>
                <w:bCs/>
                <w:i w:val="0"/>
                <w:sz w:val="22"/>
                <w:szCs w:val="22"/>
              </w:rPr>
            </w:pPr>
          </w:p>
        </w:tc>
        <w:tc>
          <w:tcPr>
            <w:tcW w:w="1833" w:type="dxa"/>
            <w:shd w:val="clear" w:color="auto" w:fill="D9D9D9" w:themeFill="background1" w:themeFillShade="D9"/>
            <w:vAlign w:val="center"/>
          </w:tcPr>
          <w:p w14:paraId="477944DD" w14:textId="77777777" w:rsidR="00A72E72" w:rsidRPr="0033055B" w:rsidRDefault="00EB1E33" w:rsidP="007563F9">
            <w:pPr>
              <w:pStyle w:val="NormalWeb"/>
              <w:snapToGrid w:val="0"/>
              <w:spacing w:before="0" w:after="0"/>
              <w:jc w:val="center"/>
              <w:rPr>
                <w:rStyle w:val="italic1"/>
                <w:rFonts w:asciiTheme="minorHAnsi" w:hAnsiTheme="minorHAnsi" w:cstheme="minorHAnsi"/>
                <w:b/>
                <w:bCs/>
                <w:i w:val="0"/>
                <w:sz w:val="22"/>
                <w:szCs w:val="22"/>
              </w:rPr>
            </w:pPr>
            <w:r>
              <w:rPr>
                <w:rFonts w:asciiTheme="minorHAnsi" w:hAnsiTheme="minorHAnsi"/>
                <w:b/>
                <w:bCs/>
                <w:iCs/>
                <w:sz w:val="22"/>
                <w:szCs w:val="22"/>
              </w:rPr>
              <w:t>Viti bazë</w:t>
            </w:r>
          </w:p>
        </w:tc>
        <w:tc>
          <w:tcPr>
            <w:tcW w:w="9165" w:type="dxa"/>
            <w:gridSpan w:val="5"/>
            <w:shd w:val="clear" w:color="auto" w:fill="D9D9D9" w:themeFill="background1" w:themeFillShade="D9"/>
            <w:vAlign w:val="center"/>
          </w:tcPr>
          <w:p w14:paraId="1253AEF9" w14:textId="77777777" w:rsidR="00A72E72" w:rsidRPr="0033055B" w:rsidRDefault="00EB1E33" w:rsidP="007563F9">
            <w:pPr>
              <w:pStyle w:val="NormalWeb"/>
              <w:snapToGrid w:val="0"/>
              <w:spacing w:before="0" w:after="0"/>
              <w:jc w:val="center"/>
              <w:rPr>
                <w:rStyle w:val="italic1"/>
                <w:rFonts w:asciiTheme="minorHAnsi" w:hAnsiTheme="minorHAnsi" w:cstheme="minorHAnsi"/>
                <w:b/>
                <w:bCs/>
                <w:i w:val="0"/>
                <w:sz w:val="22"/>
                <w:szCs w:val="22"/>
              </w:rPr>
            </w:pPr>
            <w:r>
              <w:rPr>
                <w:b/>
                <w:bCs/>
                <w:iCs/>
              </w:rPr>
              <w:t>Efiçienca plotësuese e energjisë</w:t>
            </w:r>
          </w:p>
        </w:tc>
      </w:tr>
      <w:tr w:rsidR="00F91585" w:rsidRPr="0033055B" w14:paraId="45CD91E3" w14:textId="77777777" w:rsidTr="00343EE1">
        <w:trPr>
          <w:trHeight w:val="70"/>
          <w:jc w:val="center"/>
        </w:trPr>
        <w:tc>
          <w:tcPr>
            <w:tcW w:w="2695" w:type="dxa"/>
            <w:shd w:val="clear" w:color="auto" w:fill="FFFFFF" w:themeFill="background1"/>
            <w:vAlign w:val="center"/>
          </w:tcPr>
          <w:p w14:paraId="69EE09D7" w14:textId="77777777" w:rsidR="00F91585" w:rsidRPr="0033055B" w:rsidRDefault="00F91585" w:rsidP="00FF3FF2">
            <w:pPr>
              <w:pStyle w:val="NormalWeb"/>
              <w:snapToGrid w:val="0"/>
              <w:spacing w:before="0" w:after="0"/>
              <w:rPr>
                <w:rStyle w:val="italic1"/>
                <w:rFonts w:asciiTheme="minorHAnsi" w:hAnsiTheme="minorHAnsi" w:cstheme="minorHAnsi"/>
                <w:bCs/>
                <w:i w:val="0"/>
                <w:sz w:val="22"/>
                <w:szCs w:val="22"/>
              </w:rPr>
            </w:pPr>
            <w:r>
              <w:rPr>
                <w:rStyle w:val="italic1"/>
                <w:rFonts w:asciiTheme="minorHAnsi" w:hAnsiTheme="minorHAnsi"/>
                <w:bCs/>
                <w:i w:val="0"/>
                <w:sz w:val="22"/>
                <w:szCs w:val="22"/>
              </w:rPr>
              <w:t xml:space="preserve">(1) ngrohja dhe ftohja </w:t>
            </w:r>
            <w:r>
              <w:rPr>
                <w:rStyle w:val="italic1"/>
                <w:rFonts w:asciiTheme="minorHAnsi" w:hAnsiTheme="minorHAnsi"/>
                <w:bCs/>
                <w:i w:val="0"/>
                <w:sz w:val="22"/>
                <w:szCs w:val="22"/>
                <w:vertAlign w:val="superscript"/>
              </w:rPr>
              <w:t>(</w:t>
            </w:r>
            <w:r w:rsidRPr="0033055B">
              <w:rPr>
                <w:rStyle w:val="FootnoteReference"/>
                <w:rFonts w:asciiTheme="minorHAnsi" w:hAnsiTheme="minorHAnsi" w:cstheme="minorHAnsi"/>
                <w:bCs/>
                <w:iCs/>
                <w:sz w:val="22"/>
                <w:szCs w:val="22"/>
              </w:rPr>
              <w:footnoteReference w:id="2"/>
            </w:r>
            <w:r>
              <w:rPr>
                <w:rStyle w:val="italic1"/>
                <w:rFonts w:asciiTheme="minorHAnsi" w:hAnsiTheme="minorHAnsi"/>
                <w:bCs/>
                <w:i w:val="0"/>
                <w:sz w:val="22"/>
                <w:szCs w:val="22"/>
                <w:vertAlign w:val="superscript"/>
              </w:rPr>
              <w:t>)</w:t>
            </w:r>
          </w:p>
        </w:tc>
        <w:tc>
          <w:tcPr>
            <w:tcW w:w="1833" w:type="dxa"/>
            <w:shd w:val="clear" w:color="auto" w:fill="FFFFFF" w:themeFill="background1"/>
            <w:vAlign w:val="center"/>
          </w:tcPr>
          <w:p w14:paraId="6BFC7FEE" w14:textId="77777777" w:rsidR="00F91585" w:rsidRPr="0033055B" w:rsidRDefault="00F91585" w:rsidP="00842B12">
            <w:pPr>
              <w:spacing w:after="0" w:line="240" w:lineRule="auto"/>
              <w:jc w:val="center"/>
              <w:rPr>
                <w:rFonts w:cstheme="minorHAnsi"/>
              </w:rPr>
            </w:pPr>
            <w:r>
              <w:t>528.9</w:t>
            </w:r>
          </w:p>
        </w:tc>
        <w:tc>
          <w:tcPr>
            <w:tcW w:w="1833" w:type="dxa"/>
            <w:shd w:val="clear" w:color="auto" w:fill="FFFFFF" w:themeFill="background1"/>
            <w:vAlign w:val="center"/>
          </w:tcPr>
          <w:p w14:paraId="50C4ACD8" w14:textId="77777777" w:rsidR="00F91585" w:rsidRPr="0033055B" w:rsidRDefault="00F91585" w:rsidP="0028746D">
            <w:pPr>
              <w:spacing w:after="0" w:line="240" w:lineRule="auto"/>
              <w:jc w:val="center"/>
              <w:rPr>
                <w:rFonts w:cstheme="minorHAnsi"/>
              </w:rPr>
            </w:pPr>
            <w:r>
              <w:t>565.3</w:t>
            </w:r>
          </w:p>
        </w:tc>
        <w:tc>
          <w:tcPr>
            <w:tcW w:w="1833" w:type="dxa"/>
            <w:shd w:val="clear" w:color="auto" w:fill="FFFFFF" w:themeFill="background1"/>
            <w:vAlign w:val="center"/>
          </w:tcPr>
          <w:p w14:paraId="2427BD27" w14:textId="77777777" w:rsidR="00F91585" w:rsidRPr="0033055B" w:rsidRDefault="00F91585" w:rsidP="00782666">
            <w:pPr>
              <w:spacing w:after="0" w:line="240" w:lineRule="auto"/>
              <w:jc w:val="center"/>
              <w:rPr>
                <w:rFonts w:cstheme="minorHAnsi"/>
              </w:rPr>
            </w:pPr>
            <w:r>
              <w:t>596.6</w:t>
            </w:r>
          </w:p>
        </w:tc>
        <w:tc>
          <w:tcPr>
            <w:tcW w:w="1833" w:type="dxa"/>
            <w:shd w:val="clear" w:color="auto" w:fill="FFFFFF" w:themeFill="background1"/>
            <w:vAlign w:val="center"/>
          </w:tcPr>
          <w:p w14:paraId="23903D1D" w14:textId="77777777" w:rsidR="00F91585" w:rsidRPr="0033055B" w:rsidRDefault="00F91585" w:rsidP="00331695">
            <w:pPr>
              <w:spacing w:after="0" w:line="240" w:lineRule="auto"/>
              <w:jc w:val="center"/>
              <w:rPr>
                <w:rFonts w:cstheme="minorHAnsi"/>
              </w:rPr>
            </w:pPr>
            <w:r>
              <w:t>534.9</w:t>
            </w:r>
          </w:p>
        </w:tc>
        <w:tc>
          <w:tcPr>
            <w:tcW w:w="1833" w:type="dxa"/>
            <w:shd w:val="clear" w:color="auto" w:fill="FFFFFF" w:themeFill="background1"/>
            <w:vAlign w:val="center"/>
          </w:tcPr>
          <w:p w14:paraId="6F8540FF" w14:textId="77777777" w:rsidR="00F91585" w:rsidRPr="0033055B" w:rsidRDefault="00F91585" w:rsidP="00C12D26">
            <w:pPr>
              <w:spacing w:after="0" w:line="240" w:lineRule="auto"/>
              <w:jc w:val="center"/>
              <w:rPr>
                <w:rFonts w:cstheme="minorHAnsi"/>
              </w:rPr>
            </w:pPr>
            <w:r>
              <w:t>559.7</w:t>
            </w:r>
          </w:p>
        </w:tc>
        <w:tc>
          <w:tcPr>
            <w:tcW w:w="1833" w:type="dxa"/>
            <w:shd w:val="clear" w:color="auto" w:fill="FFFFFF" w:themeFill="background1"/>
            <w:vAlign w:val="center"/>
          </w:tcPr>
          <w:p w14:paraId="661B7111" w14:textId="77777777" w:rsidR="00F91585" w:rsidRPr="0033055B" w:rsidRDefault="00F91585" w:rsidP="00144A17">
            <w:pPr>
              <w:spacing w:after="0" w:line="240" w:lineRule="auto"/>
              <w:jc w:val="center"/>
              <w:rPr>
                <w:rFonts w:cstheme="minorHAnsi"/>
              </w:rPr>
            </w:pPr>
            <w:r>
              <w:t>537.8</w:t>
            </w:r>
          </w:p>
        </w:tc>
      </w:tr>
      <w:tr w:rsidR="00F91585" w:rsidRPr="0033055B" w14:paraId="5867082C" w14:textId="77777777" w:rsidTr="00343EE1">
        <w:trPr>
          <w:trHeight w:val="70"/>
          <w:jc w:val="center"/>
        </w:trPr>
        <w:tc>
          <w:tcPr>
            <w:tcW w:w="2695" w:type="dxa"/>
            <w:shd w:val="clear" w:color="auto" w:fill="FFFFFF" w:themeFill="background1"/>
            <w:vAlign w:val="center"/>
          </w:tcPr>
          <w:p w14:paraId="7A627CD7" w14:textId="77777777" w:rsidR="00F91585" w:rsidRPr="0033055B" w:rsidRDefault="00F91585" w:rsidP="00FF3FF2">
            <w:pPr>
              <w:pStyle w:val="NormalWeb"/>
              <w:snapToGrid w:val="0"/>
              <w:spacing w:before="0" w:after="0"/>
              <w:rPr>
                <w:rStyle w:val="italic1"/>
                <w:rFonts w:asciiTheme="minorHAnsi" w:hAnsiTheme="minorHAnsi" w:cstheme="minorHAnsi"/>
                <w:bCs/>
                <w:i w:val="0"/>
                <w:sz w:val="22"/>
                <w:szCs w:val="22"/>
                <w:vertAlign w:val="superscript"/>
              </w:rPr>
            </w:pPr>
            <w:r>
              <w:rPr>
                <w:rStyle w:val="italic1"/>
                <w:rFonts w:asciiTheme="minorHAnsi" w:hAnsiTheme="minorHAnsi"/>
                <w:bCs/>
                <w:i w:val="0"/>
                <w:sz w:val="22"/>
                <w:szCs w:val="22"/>
              </w:rPr>
              <w:t>(2) energjia elektrike</w:t>
            </w:r>
            <w:r>
              <w:rPr>
                <w:rStyle w:val="italic1"/>
                <w:rFonts w:asciiTheme="minorHAnsi" w:hAnsiTheme="minorHAnsi"/>
                <w:bCs/>
                <w:i w:val="0"/>
                <w:sz w:val="22"/>
                <w:szCs w:val="22"/>
                <w:vertAlign w:val="superscript"/>
              </w:rPr>
              <w:t>(</w:t>
            </w:r>
            <w:r w:rsidRPr="0033055B">
              <w:rPr>
                <w:rStyle w:val="FootnoteReference"/>
                <w:rFonts w:asciiTheme="minorHAnsi" w:hAnsiTheme="minorHAnsi" w:cstheme="minorHAnsi"/>
                <w:bCs/>
                <w:iCs/>
                <w:sz w:val="22"/>
                <w:szCs w:val="22"/>
              </w:rPr>
              <w:footnoteReference w:id="3"/>
            </w:r>
            <w:r>
              <w:rPr>
                <w:rStyle w:val="italic1"/>
                <w:rFonts w:asciiTheme="minorHAnsi" w:hAnsiTheme="minorHAnsi"/>
                <w:bCs/>
                <w:i w:val="0"/>
                <w:sz w:val="22"/>
                <w:szCs w:val="22"/>
                <w:vertAlign w:val="superscript"/>
              </w:rPr>
              <w:t>)</w:t>
            </w:r>
          </w:p>
        </w:tc>
        <w:tc>
          <w:tcPr>
            <w:tcW w:w="1833" w:type="dxa"/>
            <w:shd w:val="clear" w:color="auto" w:fill="FFFFFF" w:themeFill="background1"/>
            <w:vAlign w:val="center"/>
          </w:tcPr>
          <w:p w14:paraId="2F5C39F8" w14:textId="77777777" w:rsidR="00F91585" w:rsidRPr="0033055B" w:rsidRDefault="00F91585" w:rsidP="00842B12">
            <w:pPr>
              <w:spacing w:after="0" w:line="240" w:lineRule="auto"/>
              <w:jc w:val="center"/>
              <w:rPr>
                <w:rFonts w:cstheme="minorHAnsi"/>
              </w:rPr>
            </w:pPr>
            <w:r>
              <w:t>470.3</w:t>
            </w:r>
          </w:p>
        </w:tc>
        <w:tc>
          <w:tcPr>
            <w:tcW w:w="1833" w:type="dxa"/>
            <w:shd w:val="clear" w:color="auto" w:fill="FFFFFF" w:themeFill="background1"/>
            <w:vAlign w:val="center"/>
          </w:tcPr>
          <w:p w14:paraId="0028AE4C" w14:textId="77777777" w:rsidR="00F91585" w:rsidRPr="0033055B" w:rsidRDefault="00F91585" w:rsidP="0028746D">
            <w:pPr>
              <w:spacing w:after="0" w:line="240" w:lineRule="auto"/>
              <w:jc w:val="center"/>
              <w:rPr>
                <w:rFonts w:cstheme="minorHAnsi"/>
              </w:rPr>
            </w:pPr>
            <w:r>
              <w:t>484.4</w:t>
            </w:r>
          </w:p>
        </w:tc>
        <w:tc>
          <w:tcPr>
            <w:tcW w:w="1833" w:type="dxa"/>
            <w:shd w:val="clear" w:color="auto" w:fill="FFFFFF" w:themeFill="background1"/>
            <w:vAlign w:val="center"/>
          </w:tcPr>
          <w:p w14:paraId="33B34CDD" w14:textId="77777777" w:rsidR="00F91585" w:rsidRPr="0033055B" w:rsidRDefault="00F91585" w:rsidP="00782666">
            <w:pPr>
              <w:spacing w:after="0" w:line="240" w:lineRule="auto"/>
              <w:jc w:val="center"/>
              <w:rPr>
                <w:rFonts w:cstheme="minorHAnsi"/>
              </w:rPr>
            </w:pPr>
            <w:r>
              <w:t>534.7</w:t>
            </w:r>
          </w:p>
        </w:tc>
        <w:tc>
          <w:tcPr>
            <w:tcW w:w="1833" w:type="dxa"/>
            <w:shd w:val="clear" w:color="auto" w:fill="FFFFFF" w:themeFill="background1"/>
            <w:vAlign w:val="center"/>
          </w:tcPr>
          <w:p w14:paraId="0098770F" w14:textId="77777777" w:rsidR="00F91585" w:rsidRPr="0033055B" w:rsidRDefault="00F91585" w:rsidP="00331695">
            <w:pPr>
              <w:spacing w:after="0" w:line="240" w:lineRule="auto"/>
              <w:jc w:val="center"/>
              <w:rPr>
                <w:rFonts w:cstheme="minorHAnsi"/>
              </w:rPr>
            </w:pPr>
            <w:r>
              <w:t>524.2</w:t>
            </w:r>
          </w:p>
        </w:tc>
        <w:tc>
          <w:tcPr>
            <w:tcW w:w="1833" w:type="dxa"/>
            <w:shd w:val="clear" w:color="auto" w:fill="FFFFFF" w:themeFill="background1"/>
            <w:vAlign w:val="center"/>
          </w:tcPr>
          <w:p w14:paraId="741C21DC" w14:textId="77777777" w:rsidR="00F91585" w:rsidRPr="0033055B" w:rsidRDefault="00F91585" w:rsidP="00C12D26">
            <w:pPr>
              <w:spacing w:after="0" w:line="240" w:lineRule="auto"/>
              <w:jc w:val="center"/>
              <w:rPr>
                <w:rFonts w:cstheme="minorHAnsi"/>
              </w:rPr>
            </w:pPr>
            <w:r>
              <w:t>531.6</w:t>
            </w:r>
          </w:p>
        </w:tc>
        <w:tc>
          <w:tcPr>
            <w:tcW w:w="1833" w:type="dxa"/>
            <w:shd w:val="clear" w:color="auto" w:fill="FFFFFF" w:themeFill="background1"/>
            <w:vAlign w:val="center"/>
          </w:tcPr>
          <w:p w14:paraId="764BE397" w14:textId="77777777" w:rsidR="00F91585" w:rsidRPr="0033055B" w:rsidRDefault="00F91585" w:rsidP="00144A17">
            <w:pPr>
              <w:spacing w:after="0" w:line="240" w:lineRule="auto"/>
              <w:jc w:val="center"/>
              <w:rPr>
                <w:rFonts w:cstheme="minorHAnsi"/>
              </w:rPr>
            </w:pPr>
            <w:r>
              <w:t>509.6</w:t>
            </w:r>
          </w:p>
        </w:tc>
      </w:tr>
      <w:tr w:rsidR="00F91585" w:rsidRPr="0033055B" w14:paraId="4F85EDA4" w14:textId="77777777" w:rsidTr="00343EE1">
        <w:trPr>
          <w:trHeight w:val="275"/>
          <w:jc w:val="center"/>
        </w:trPr>
        <w:tc>
          <w:tcPr>
            <w:tcW w:w="2695" w:type="dxa"/>
            <w:shd w:val="clear" w:color="auto" w:fill="FFFFFF" w:themeFill="background1"/>
            <w:vAlign w:val="center"/>
          </w:tcPr>
          <w:p w14:paraId="03B1649E" w14:textId="77777777" w:rsidR="00F91585" w:rsidRPr="0033055B" w:rsidRDefault="00F91585" w:rsidP="00FF3FF2">
            <w:pPr>
              <w:pStyle w:val="NormalWeb"/>
              <w:snapToGrid w:val="0"/>
              <w:spacing w:before="0" w:after="0"/>
              <w:rPr>
                <w:rStyle w:val="italic1"/>
                <w:rFonts w:asciiTheme="minorHAnsi" w:hAnsiTheme="minorHAnsi" w:cstheme="minorHAnsi"/>
                <w:bCs/>
                <w:i w:val="0"/>
                <w:sz w:val="22"/>
                <w:szCs w:val="22"/>
              </w:rPr>
            </w:pPr>
            <w:r>
              <w:rPr>
                <w:rStyle w:val="italic1"/>
                <w:rFonts w:asciiTheme="minorHAnsi" w:hAnsiTheme="minorHAnsi"/>
                <w:bCs/>
                <w:i w:val="0"/>
                <w:sz w:val="22"/>
                <w:szCs w:val="22"/>
              </w:rPr>
              <w:t xml:space="preserve">(3) </w:t>
            </w:r>
            <w:r>
              <w:rPr>
                <w:rFonts w:asciiTheme="minorHAnsi" w:hAnsiTheme="minorHAnsi"/>
                <w:sz w:val="22"/>
                <w:szCs w:val="22"/>
              </w:rPr>
              <w:t xml:space="preserve">transporti sipas Nenit 3(4)a </w:t>
            </w:r>
            <w:r>
              <w:rPr>
                <w:rFonts w:asciiTheme="minorHAnsi" w:hAnsiTheme="minorHAnsi"/>
                <w:sz w:val="22"/>
                <w:szCs w:val="22"/>
                <w:vertAlign w:val="superscript"/>
              </w:rPr>
              <w:t>(</w:t>
            </w:r>
            <w:r w:rsidRPr="0033055B">
              <w:rPr>
                <w:rStyle w:val="FootnoteReference"/>
                <w:rFonts w:asciiTheme="minorHAnsi" w:hAnsiTheme="minorHAnsi" w:cstheme="minorHAnsi"/>
                <w:sz w:val="22"/>
                <w:szCs w:val="22"/>
              </w:rPr>
              <w:footnoteReference w:id="4"/>
            </w:r>
            <w:r>
              <w:rPr>
                <w:rFonts w:asciiTheme="minorHAnsi" w:hAnsiTheme="minorHAnsi"/>
                <w:sz w:val="22"/>
                <w:szCs w:val="22"/>
                <w:vertAlign w:val="superscript"/>
              </w:rPr>
              <w:t>)</w:t>
            </w:r>
          </w:p>
        </w:tc>
        <w:tc>
          <w:tcPr>
            <w:tcW w:w="1833" w:type="dxa"/>
            <w:shd w:val="clear" w:color="auto" w:fill="FFFFFF" w:themeFill="background1"/>
            <w:vAlign w:val="center"/>
          </w:tcPr>
          <w:p w14:paraId="476DB2B3" w14:textId="77777777" w:rsidR="00F91585" w:rsidRPr="0033055B" w:rsidRDefault="00F91585" w:rsidP="00842B12">
            <w:pPr>
              <w:spacing w:after="0" w:line="240" w:lineRule="auto"/>
              <w:jc w:val="center"/>
              <w:rPr>
                <w:rFonts w:cstheme="minorHAnsi"/>
              </w:rPr>
            </w:pPr>
            <w:r>
              <w:t>325.6</w:t>
            </w:r>
          </w:p>
        </w:tc>
        <w:tc>
          <w:tcPr>
            <w:tcW w:w="1833" w:type="dxa"/>
            <w:shd w:val="clear" w:color="auto" w:fill="FFFFFF" w:themeFill="background1"/>
            <w:vAlign w:val="center"/>
          </w:tcPr>
          <w:p w14:paraId="566D6ACC" w14:textId="77777777" w:rsidR="00F91585" w:rsidRPr="0033055B" w:rsidRDefault="00F91585" w:rsidP="0028746D">
            <w:pPr>
              <w:spacing w:after="0" w:line="240" w:lineRule="auto"/>
              <w:jc w:val="center"/>
              <w:rPr>
                <w:rFonts w:cstheme="minorHAnsi"/>
              </w:rPr>
            </w:pPr>
            <w:r>
              <w:t>304.0</w:t>
            </w:r>
          </w:p>
        </w:tc>
        <w:tc>
          <w:tcPr>
            <w:tcW w:w="1833" w:type="dxa"/>
            <w:shd w:val="clear" w:color="auto" w:fill="FFFFFF" w:themeFill="background1"/>
            <w:vAlign w:val="center"/>
          </w:tcPr>
          <w:p w14:paraId="3EA6F1EC" w14:textId="77777777" w:rsidR="00F91585" w:rsidRPr="0033055B" w:rsidRDefault="00F91585" w:rsidP="00782666">
            <w:pPr>
              <w:spacing w:after="0" w:line="240" w:lineRule="auto"/>
              <w:jc w:val="center"/>
              <w:rPr>
                <w:rFonts w:cstheme="minorHAnsi"/>
              </w:rPr>
            </w:pPr>
            <w:r>
              <w:t>315.3</w:t>
            </w:r>
          </w:p>
        </w:tc>
        <w:tc>
          <w:tcPr>
            <w:tcW w:w="1833" w:type="dxa"/>
            <w:shd w:val="clear" w:color="auto" w:fill="FFFFFF" w:themeFill="background1"/>
            <w:vAlign w:val="center"/>
          </w:tcPr>
          <w:p w14:paraId="259BAE19" w14:textId="77777777" w:rsidR="00F91585" w:rsidRPr="0033055B" w:rsidRDefault="00F91585" w:rsidP="00331695">
            <w:pPr>
              <w:spacing w:after="0" w:line="240" w:lineRule="auto"/>
              <w:jc w:val="center"/>
              <w:rPr>
                <w:rFonts w:cstheme="minorHAnsi"/>
              </w:rPr>
            </w:pPr>
            <w:r>
              <w:t>319.4</w:t>
            </w:r>
          </w:p>
        </w:tc>
        <w:tc>
          <w:tcPr>
            <w:tcW w:w="1833" w:type="dxa"/>
            <w:shd w:val="clear" w:color="auto" w:fill="FFFFFF" w:themeFill="background1"/>
            <w:vAlign w:val="center"/>
          </w:tcPr>
          <w:p w14:paraId="6072B3DF" w14:textId="77777777" w:rsidR="00F91585" w:rsidRPr="0033055B" w:rsidRDefault="00F91585" w:rsidP="00C12D26">
            <w:pPr>
              <w:spacing w:after="0" w:line="240" w:lineRule="auto"/>
              <w:jc w:val="center"/>
              <w:rPr>
                <w:rFonts w:cstheme="minorHAnsi"/>
              </w:rPr>
            </w:pPr>
            <w:r>
              <w:t>306.1</w:t>
            </w:r>
          </w:p>
        </w:tc>
        <w:tc>
          <w:tcPr>
            <w:tcW w:w="1833" w:type="dxa"/>
            <w:shd w:val="clear" w:color="auto" w:fill="FFFFFF" w:themeFill="background1"/>
            <w:vAlign w:val="center"/>
          </w:tcPr>
          <w:p w14:paraId="2B6B5418" w14:textId="77777777" w:rsidR="00F91585" w:rsidRPr="0033055B" w:rsidRDefault="00F91585" w:rsidP="00144A17">
            <w:pPr>
              <w:spacing w:after="0" w:line="240" w:lineRule="auto"/>
              <w:jc w:val="center"/>
              <w:rPr>
                <w:rFonts w:cstheme="minorHAnsi"/>
              </w:rPr>
            </w:pPr>
            <w:r>
              <w:t>331.7</w:t>
            </w:r>
          </w:p>
        </w:tc>
      </w:tr>
      <w:tr w:rsidR="00F91585" w:rsidRPr="0033055B" w14:paraId="2EDBAA6B" w14:textId="77777777" w:rsidTr="00343EE1">
        <w:trPr>
          <w:trHeight w:val="95"/>
          <w:jc w:val="center"/>
        </w:trPr>
        <w:tc>
          <w:tcPr>
            <w:tcW w:w="2695" w:type="dxa"/>
            <w:shd w:val="clear" w:color="auto" w:fill="FFFFFF" w:themeFill="background1"/>
            <w:vAlign w:val="center"/>
          </w:tcPr>
          <w:p w14:paraId="5FFA8D02" w14:textId="77777777" w:rsidR="00F91585" w:rsidRPr="0033055B" w:rsidRDefault="00F91585" w:rsidP="00FF3FF2">
            <w:pPr>
              <w:pStyle w:val="NormalWeb"/>
              <w:snapToGrid w:val="0"/>
              <w:spacing w:before="0" w:after="0"/>
              <w:rPr>
                <w:rFonts w:asciiTheme="minorHAnsi" w:hAnsiTheme="minorHAnsi" w:cstheme="minorHAnsi"/>
                <w:sz w:val="22"/>
                <w:szCs w:val="22"/>
              </w:rPr>
            </w:pPr>
            <w:r>
              <w:rPr>
                <w:rStyle w:val="italic1"/>
                <w:rFonts w:asciiTheme="minorHAnsi" w:hAnsiTheme="minorHAnsi"/>
                <w:bCs/>
                <w:i w:val="0"/>
                <w:sz w:val="22"/>
                <w:szCs w:val="22"/>
              </w:rPr>
              <w:t>(4) Konsumi bruto final i energjisë</w:t>
            </w:r>
            <w:r w:rsidRPr="0033055B">
              <w:rPr>
                <w:rStyle w:val="Smbolodenotaalpie"/>
                <w:rFonts w:asciiTheme="minorHAnsi" w:hAnsiTheme="minorHAnsi" w:cstheme="minorHAnsi"/>
                <w:bCs/>
                <w:iCs/>
                <w:sz w:val="22"/>
                <w:szCs w:val="22"/>
              </w:rPr>
              <w:footnoteReference w:id="5"/>
            </w:r>
            <w:r>
              <w:rPr>
                <w:rStyle w:val="italic1"/>
                <w:rFonts w:asciiTheme="minorHAnsi" w:hAnsiTheme="minorHAnsi"/>
                <w:bCs/>
                <w:i w:val="0"/>
                <w:sz w:val="22"/>
                <w:szCs w:val="22"/>
              </w:rPr>
              <w:t xml:space="preserve"> </w:t>
            </w:r>
          </w:p>
        </w:tc>
        <w:tc>
          <w:tcPr>
            <w:tcW w:w="1833" w:type="dxa"/>
            <w:shd w:val="clear" w:color="auto" w:fill="FFFFFF" w:themeFill="background1"/>
            <w:vAlign w:val="center"/>
          </w:tcPr>
          <w:p w14:paraId="2A007D2A" w14:textId="77777777" w:rsidR="00F91585" w:rsidRPr="0033055B" w:rsidRDefault="00F91585" w:rsidP="00842B12">
            <w:pPr>
              <w:spacing w:after="0" w:line="240" w:lineRule="auto"/>
              <w:jc w:val="center"/>
              <w:rPr>
                <w:rFonts w:cstheme="minorHAnsi"/>
              </w:rPr>
            </w:pPr>
            <w:r>
              <w:t>1,354.3</w:t>
            </w:r>
          </w:p>
        </w:tc>
        <w:tc>
          <w:tcPr>
            <w:tcW w:w="1833" w:type="dxa"/>
            <w:shd w:val="clear" w:color="auto" w:fill="FFFFFF" w:themeFill="background1"/>
            <w:vAlign w:val="center"/>
          </w:tcPr>
          <w:p w14:paraId="6FCE7C43" w14:textId="77777777" w:rsidR="00F91585" w:rsidRPr="0033055B" w:rsidRDefault="00F91585" w:rsidP="0028746D">
            <w:pPr>
              <w:spacing w:after="0" w:line="240" w:lineRule="auto"/>
              <w:jc w:val="center"/>
              <w:rPr>
                <w:rFonts w:cstheme="minorHAnsi"/>
              </w:rPr>
            </w:pPr>
            <w:r>
              <w:t>1,379.3</w:t>
            </w:r>
          </w:p>
        </w:tc>
        <w:tc>
          <w:tcPr>
            <w:tcW w:w="1833" w:type="dxa"/>
            <w:shd w:val="clear" w:color="auto" w:fill="FFFFFF" w:themeFill="background1"/>
            <w:vAlign w:val="center"/>
          </w:tcPr>
          <w:p w14:paraId="5F820588" w14:textId="77777777" w:rsidR="00F91585" w:rsidRPr="0033055B" w:rsidRDefault="00F91585" w:rsidP="00782666">
            <w:pPr>
              <w:spacing w:after="0" w:line="240" w:lineRule="auto"/>
              <w:jc w:val="center"/>
              <w:rPr>
                <w:rFonts w:cstheme="minorHAnsi"/>
              </w:rPr>
            </w:pPr>
            <w:r>
              <w:t>1,472.2</w:t>
            </w:r>
          </w:p>
        </w:tc>
        <w:tc>
          <w:tcPr>
            <w:tcW w:w="1833" w:type="dxa"/>
            <w:shd w:val="clear" w:color="auto" w:fill="FFFFFF" w:themeFill="background1"/>
            <w:vAlign w:val="center"/>
          </w:tcPr>
          <w:p w14:paraId="1A1B2187" w14:textId="77777777" w:rsidR="00F91585" w:rsidRPr="0033055B" w:rsidRDefault="00F91585" w:rsidP="00331695">
            <w:pPr>
              <w:spacing w:after="0" w:line="240" w:lineRule="auto"/>
              <w:jc w:val="center"/>
              <w:rPr>
                <w:rFonts w:cstheme="minorHAnsi"/>
              </w:rPr>
            </w:pPr>
            <w:r>
              <w:t>1,404.9</w:t>
            </w:r>
          </w:p>
        </w:tc>
        <w:tc>
          <w:tcPr>
            <w:tcW w:w="1833" w:type="dxa"/>
            <w:shd w:val="clear" w:color="auto" w:fill="FFFFFF" w:themeFill="background1"/>
            <w:vAlign w:val="center"/>
          </w:tcPr>
          <w:p w14:paraId="1DE1F9D5" w14:textId="77777777" w:rsidR="00F91585" w:rsidRPr="0033055B" w:rsidRDefault="00F91585" w:rsidP="00C12D26">
            <w:pPr>
              <w:spacing w:after="0" w:line="240" w:lineRule="auto"/>
              <w:jc w:val="center"/>
              <w:rPr>
                <w:rFonts w:cstheme="minorHAnsi"/>
              </w:rPr>
            </w:pPr>
            <w:r>
              <w:t>1,423.1</w:t>
            </w:r>
          </w:p>
        </w:tc>
        <w:tc>
          <w:tcPr>
            <w:tcW w:w="1833" w:type="dxa"/>
            <w:shd w:val="clear" w:color="auto" w:fill="FFFFFF" w:themeFill="background1"/>
            <w:vAlign w:val="center"/>
          </w:tcPr>
          <w:p w14:paraId="013A264B" w14:textId="77777777" w:rsidR="00F91585" w:rsidRPr="0033055B" w:rsidRDefault="00F91585" w:rsidP="00144A17">
            <w:pPr>
              <w:spacing w:after="0" w:line="240" w:lineRule="auto"/>
              <w:jc w:val="center"/>
              <w:rPr>
                <w:rFonts w:cstheme="minorHAnsi"/>
              </w:rPr>
            </w:pPr>
            <w:r>
              <w:t>1,388.9</w:t>
            </w:r>
          </w:p>
        </w:tc>
      </w:tr>
      <w:tr w:rsidR="00343EE1" w:rsidRPr="0033055B" w14:paraId="3F6E7599" w14:textId="77777777" w:rsidTr="00343EE1">
        <w:trPr>
          <w:trHeight w:val="70"/>
          <w:jc w:val="center"/>
        </w:trPr>
        <w:tc>
          <w:tcPr>
            <w:tcW w:w="2695" w:type="dxa"/>
            <w:vMerge w:val="restart"/>
            <w:shd w:val="clear" w:color="auto" w:fill="D9D9D9" w:themeFill="background1" w:themeFillShade="D9"/>
            <w:vAlign w:val="center"/>
          </w:tcPr>
          <w:p w14:paraId="3C2593EE" w14:textId="77777777" w:rsidR="00343EE1" w:rsidRPr="0033055B" w:rsidRDefault="00343EE1" w:rsidP="00FF3FF2">
            <w:pPr>
              <w:pStyle w:val="NormalWeb"/>
              <w:snapToGrid w:val="0"/>
              <w:spacing w:before="0" w:after="0"/>
              <w:jc w:val="both"/>
              <w:rPr>
                <w:rStyle w:val="italic1"/>
                <w:rFonts w:asciiTheme="minorHAnsi" w:hAnsiTheme="minorHAnsi" w:cstheme="minorHAnsi"/>
                <w:b/>
                <w:bCs/>
                <w:i w:val="0"/>
                <w:sz w:val="22"/>
                <w:szCs w:val="22"/>
              </w:rPr>
            </w:pPr>
          </w:p>
        </w:tc>
        <w:tc>
          <w:tcPr>
            <w:tcW w:w="1833" w:type="dxa"/>
            <w:shd w:val="clear" w:color="auto" w:fill="D9D9D9" w:themeFill="background1" w:themeFillShade="D9"/>
            <w:vAlign w:val="center"/>
          </w:tcPr>
          <w:p w14:paraId="08A8D443" w14:textId="77777777" w:rsidR="00343EE1" w:rsidRPr="0033055B" w:rsidRDefault="00343EE1" w:rsidP="00842B12">
            <w:pPr>
              <w:pStyle w:val="NormalWeb"/>
              <w:snapToGrid w:val="0"/>
              <w:spacing w:before="0" w:after="0"/>
              <w:jc w:val="center"/>
              <w:rPr>
                <w:rStyle w:val="italic1"/>
                <w:rFonts w:asciiTheme="minorHAnsi" w:hAnsiTheme="minorHAnsi" w:cstheme="minorHAnsi"/>
                <w:b/>
                <w:bCs/>
                <w:i w:val="0"/>
                <w:sz w:val="22"/>
                <w:szCs w:val="22"/>
              </w:rPr>
            </w:pPr>
            <w:r>
              <w:rPr>
                <w:rStyle w:val="italic1"/>
                <w:rFonts w:asciiTheme="minorHAnsi" w:hAnsiTheme="minorHAnsi"/>
                <w:b/>
                <w:bCs/>
                <w:i w:val="0"/>
                <w:sz w:val="22"/>
                <w:szCs w:val="22"/>
              </w:rPr>
              <w:t>2015</w:t>
            </w:r>
          </w:p>
        </w:tc>
        <w:tc>
          <w:tcPr>
            <w:tcW w:w="1833" w:type="dxa"/>
            <w:shd w:val="clear" w:color="auto" w:fill="D9D9D9" w:themeFill="background1" w:themeFillShade="D9"/>
            <w:vAlign w:val="center"/>
          </w:tcPr>
          <w:p w14:paraId="4FE3D260" w14:textId="77777777" w:rsidR="00343EE1" w:rsidRPr="0033055B" w:rsidRDefault="00343EE1" w:rsidP="0028746D">
            <w:pPr>
              <w:pStyle w:val="NormalWeb"/>
              <w:snapToGrid w:val="0"/>
              <w:spacing w:before="0" w:after="0"/>
              <w:jc w:val="center"/>
              <w:rPr>
                <w:rStyle w:val="italic1"/>
                <w:rFonts w:asciiTheme="minorHAnsi" w:hAnsiTheme="minorHAnsi" w:cstheme="minorHAnsi"/>
                <w:b/>
                <w:bCs/>
                <w:i w:val="0"/>
                <w:sz w:val="22"/>
                <w:szCs w:val="22"/>
              </w:rPr>
            </w:pPr>
            <w:r>
              <w:rPr>
                <w:rStyle w:val="italic1"/>
                <w:rFonts w:asciiTheme="minorHAnsi" w:hAnsiTheme="minorHAnsi"/>
                <w:b/>
                <w:bCs/>
                <w:i w:val="0"/>
                <w:sz w:val="22"/>
                <w:szCs w:val="22"/>
              </w:rPr>
              <w:t>2016</w:t>
            </w:r>
          </w:p>
        </w:tc>
        <w:tc>
          <w:tcPr>
            <w:tcW w:w="1833" w:type="dxa"/>
            <w:shd w:val="clear" w:color="auto" w:fill="D9D9D9" w:themeFill="background1" w:themeFillShade="D9"/>
            <w:vAlign w:val="center"/>
          </w:tcPr>
          <w:p w14:paraId="720A8404" w14:textId="77777777" w:rsidR="00343EE1" w:rsidRPr="0033055B" w:rsidRDefault="00343EE1" w:rsidP="00782666">
            <w:pPr>
              <w:pStyle w:val="NormalWeb"/>
              <w:snapToGrid w:val="0"/>
              <w:spacing w:before="0" w:after="0"/>
              <w:jc w:val="center"/>
              <w:rPr>
                <w:rStyle w:val="italic1"/>
                <w:rFonts w:asciiTheme="minorHAnsi" w:hAnsiTheme="minorHAnsi" w:cstheme="minorHAnsi"/>
                <w:b/>
                <w:bCs/>
                <w:i w:val="0"/>
                <w:sz w:val="22"/>
                <w:szCs w:val="22"/>
              </w:rPr>
            </w:pPr>
            <w:r>
              <w:rPr>
                <w:rStyle w:val="italic1"/>
                <w:rFonts w:asciiTheme="minorHAnsi" w:hAnsiTheme="minorHAnsi"/>
                <w:b/>
                <w:bCs/>
                <w:i w:val="0"/>
                <w:sz w:val="22"/>
                <w:szCs w:val="22"/>
              </w:rPr>
              <w:t>2017</w:t>
            </w:r>
          </w:p>
        </w:tc>
        <w:tc>
          <w:tcPr>
            <w:tcW w:w="1833" w:type="dxa"/>
            <w:shd w:val="clear" w:color="auto" w:fill="D9D9D9" w:themeFill="background1" w:themeFillShade="D9"/>
            <w:vAlign w:val="center"/>
          </w:tcPr>
          <w:p w14:paraId="187770D0" w14:textId="77777777" w:rsidR="00343EE1" w:rsidRPr="0033055B" w:rsidRDefault="00343EE1" w:rsidP="00331695">
            <w:pPr>
              <w:pStyle w:val="NormalWeb"/>
              <w:snapToGrid w:val="0"/>
              <w:spacing w:before="0" w:after="0"/>
              <w:jc w:val="center"/>
              <w:rPr>
                <w:rStyle w:val="italic1"/>
                <w:rFonts w:asciiTheme="minorHAnsi" w:hAnsiTheme="minorHAnsi" w:cstheme="minorHAnsi"/>
                <w:b/>
                <w:bCs/>
                <w:i w:val="0"/>
                <w:sz w:val="22"/>
                <w:szCs w:val="22"/>
              </w:rPr>
            </w:pPr>
            <w:r>
              <w:rPr>
                <w:rStyle w:val="italic1"/>
                <w:rFonts w:asciiTheme="minorHAnsi" w:hAnsiTheme="minorHAnsi"/>
                <w:b/>
                <w:bCs/>
                <w:i w:val="0"/>
                <w:sz w:val="22"/>
                <w:szCs w:val="22"/>
              </w:rPr>
              <w:t>2018</w:t>
            </w:r>
          </w:p>
        </w:tc>
        <w:tc>
          <w:tcPr>
            <w:tcW w:w="1833" w:type="dxa"/>
            <w:shd w:val="clear" w:color="auto" w:fill="D9D9D9" w:themeFill="background1" w:themeFillShade="D9"/>
            <w:vAlign w:val="center"/>
          </w:tcPr>
          <w:p w14:paraId="392F89A5" w14:textId="77777777" w:rsidR="00343EE1" w:rsidRPr="0033055B" w:rsidRDefault="00343EE1" w:rsidP="00C12D26">
            <w:pPr>
              <w:pStyle w:val="NormalWeb"/>
              <w:snapToGrid w:val="0"/>
              <w:spacing w:before="0" w:after="0"/>
              <w:jc w:val="center"/>
              <w:rPr>
                <w:rStyle w:val="italic1"/>
                <w:rFonts w:asciiTheme="minorHAnsi" w:hAnsiTheme="minorHAnsi" w:cstheme="minorHAnsi"/>
                <w:b/>
                <w:bCs/>
                <w:i w:val="0"/>
                <w:sz w:val="22"/>
                <w:szCs w:val="22"/>
              </w:rPr>
            </w:pPr>
            <w:r>
              <w:rPr>
                <w:rStyle w:val="italic1"/>
                <w:rFonts w:asciiTheme="minorHAnsi" w:hAnsiTheme="minorHAnsi"/>
                <w:b/>
                <w:bCs/>
                <w:i w:val="0"/>
                <w:sz w:val="22"/>
                <w:szCs w:val="22"/>
              </w:rPr>
              <w:t>2019</w:t>
            </w:r>
          </w:p>
        </w:tc>
        <w:tc>
          <w:tcPr>
            <w:tcW w:w="1833" w:type="dxa"/>
            <w:shd w:val="clear" w:color="auto" w:fill="D9D9D9" w:themeFill="background1" w:themeFillShade="D9"/>
            <w:vAlign w:val="center"/>
          </w:tcPr>
          <w:p w14:paraId="6FC04D9D" w14:textId="77777777" w:rsidR="00343EE1" w:rsidRPr="0033055B" w:rsidRDefault="00343EE1" w:rsidP="00144A17">
            <w:pPr>
              <w:pStyle w:val="NormalWeb"/>
              <w:snapToGrid w:val="0"/>
              <w:spacing w:before="0" w:after="0"/>
              <w:jc w:val="center"/>
              <w:rPr>
                <w:rStyle w:val="italic1"/>
                <w:rFonts w:asciiTheme="minorHAnsi" w:hAnsiTheme="minorHAnsi" w:cstheme="minorHAnsi"/>
                <w:b/>
                <w:bCs/>
                <w:i w:val="0"/>
                <w:sz w:val="22"/>
                <w:szCs w:val="22"/>
              </w:rPr>
            </w:pPr>
            <w:r>
              <w:rPr>
                <w:rStyle w:val="italic1"/>
                <w:rFonts w:asciiTheme="minorHAnsi" w:hAnsiTheme="minorHAnsi"/>
                <w:b/>
                <w:bCs/>
                <w:i w:val="0"/>
                <w:sz w:val="22"/>
                <w:szCs w:val="22"/>
              </w:rPr>
              <w:t>2020</w:t>
            </w:r>
          </w:p>
        </w:tc>
      </w:tr>
      <w:tr w:rsidR="00A72E72" w:rsidRPr="0033055B" w14:paraId="0FBE51E5" w14:textId="77777777" w:rsidTr="007563F9">
        <w:trPr>
          <w:trHeight w:val="64"/>
          <w:jc w:val="center"/>
        </w:trPr>
        <w:tc>
          <w:tcPr>
            <w:tcW w:w="2695" w:type="dxa"/>
            <w:vMerge/>
            <w:shd w:val="clear" w:color="auto" w:fill="D9D9D9" w:themeFill="background1" w:themeFillShade="D9"/>
            <w:vAlign w:val="center"/>
          </w:tcPr>
          <w:p w14:paraId="0BA24846" w14:textId="77777777" w:rsidR="00A72E72" w:rsidRPr="0033055B" w:rsidRDefault="00A72E72" w:rsidP="007563F9">
            <w:pPr>
              <w:pStyle w:val="NormalWeb"/>
              <w:snapToGrid w:val="0"/>
              <w:spacing w:before="0" w:after="0"/>
              <w:jc w:val="both"/>
              <w:rPr>
                <w:rStyle w:val="italic1"/>
                <w:rFonts w:asciiTheme="minorHAnsi" w:hAnsiTheme="minorHAnsi" w:cstheme="minorHAnsi"/>
                <w:b/>
                <w:bCs/>
                <w:i w:val="0"/>
                <w:sz w:val="22"/>
                <w:szCs w:val="22"/>
              </w:rPr>
            </w:pPr>
          </w:p>
        </w:tc>
        <w:tc>
          <w:tcPr>
            <w:tcW w:w="10998" w:type="dxa"/>
            <w:gridSpan w:val="6"/>
            <w:shd w:val="clear" w:color="auto" w:fill="D9D9D9" w:themeFill="background1" w:themeFillShade="D9"/>
          </w:tcPr>
          <w:p w14:paraId="6BBB692A" w14:textId="77777777" w:rsidR="00A72E72" w:rsidRPr="0033055B" w:rsidRDefault="00A72E72" w:rsidP="007563F9">
            <w:pPr>
              <w:spacing w:after="0" w:line="240" w:lineRule="auto"/>
              <w:jc w:val="center"/>
              <w:rPr>
                <w:rStyle w:val="italic1"/>
                <w:rFonts w:cstheme="minorHAnsi"/>
                <w:b/>
                <w:bCs/>
                <w:i w:val="0"/>
              </w:rPr>
            </w:pPr>
            <w:r>
              <w:rPr>
                <w:b/>
                <w:bCs/>
                <w:iCs/>
              </w:rPr>
              <w:t>Efiçienca plotësuese e energjisë</w:t>
            </w:r>
          </w:p>
        </w:tc>
      </w:tr>
      <w:tr w:rsidR="00DC7601" w:rsidRPr="0033055B" w14:paraId="5DBA7E0B" w14:textId="77777777" w:rsidTr="00DC7601">
        <w:trPr>
          <w:trHeight w:val="70"/>
          <w:jc w:val="center"/>
        </w:trPr>
        <w:tc>
          <w:tcPr>
            <w:tcW w:w="2695" w:type="dxa"/>
            <w:shd w:val="clear" w:color="auto" w:fill="FFFFFF" w:themeFill="background1"/>
            <w:vAlign w:val="center"/>
          </w:tcPr>
          <w:p w14:paraId="13586562" w14:textId="77777777" w:rsidR="00DC7601" w:rsidRPr="0033055B" w:rsidRDefault="00DC7601" w:rsidP="00FF3FF2">
            <w:pPr>
              <w:pStyle w:val="NormalWeb"/>
              <w:snapToGrid w:val="0"/>
              <w:spacing w:before="0" w:after="0"/>
              <w:rPr>
                <w:rStyle w:val="italic1"/>
                <w:rFonts w:asciiTheme="minorHAnsi" w:hAnsiTheme="minorHAnsi" w:cstheme="minorHAnsi"/>
                <w:bCs/>
                <w:i w:val="0"/>
                <w:sz w:val="22"/>
                <w:szCs w:val="22"/>
              </w:rPr>
            </w:pPr>
            <w:r>
              <w:rPr>
                <w:rStyle w:val="italic1"/>
                <w:rFonts w:asciiTheme="minorHAnsi" w:hAnsiTheme="minorHAnsi"/>
                <w:bCs/>
                <w:i w:val="0"/>
                <w:sz w:val="22"/>
                <w:szCs w:val="22"/>
              </w:rPr>
              <w:t xml:space="preserve">(1) ngrohja dhe ftohja </w:t>
            </w:r>
            <w:r>
              <w:rPr>
                <w:rStyle w:val="italic1"/>
                <w:rFonts w:asciiTheme="minorHAnsi" w:hAnsiTheme="minorHAnsi"/>
                <w:bCs/>
                <w:i w:val="0"/>
                <w:sz w:val="22"/>
                <w:szCs w:val="22"/>
                <w:vertAlign w:val="superscript"/>
              </w:rPr>
              <w:t>(</w:t>
            </w:r>
            <w:r w:rsidRPr="0033055B">
              <w:rPr>
                <w:rStyle w:val="FootnoteReference"/>
                <w:rFonts w:asciiTheme="minorHAnsi" w:hAnsiTheme="minorHAnsi" w:cstheme="minorHAnsi"/>
                <w:bCs/>
                <w:iCs/>
                <w:sz w:val="22"/>
                <w:szCs w:val="22"/>
              </w:rPr>
              <w:footnoteReference w:id="6"/>
            </w:r>
            <w:r>
              <w:rPr>
                <w:rStyle w:val="italic1"/>
                <w:rFonts w:asciiTheme="minorHAnsi" w:hAnsiTheme="minorHAnsi"/>
                <w:bCs/>
                <w:i w:val="0"/>
                <w:sz w:val="22"/>
                <w:szCs w:val="22"/>
                <w:vertAlign w:val="superscript"/>
              </w:rPr>
              <w:t>)</w:t>
            </w:r>
          </w:p>
        </w:tc>
        <w:tc>
          <w:tcPr>
            <w:tcW w:w="1833" w:type="dxa"/>
            <w:shd w:val="clear" w:color="auto" w:fill="FFFFFF" w:themeFill="background1"/>
            <w:vAlign w:val="center"/>
          </w:tcPr>
          <w:p w14:paraId="41361401" w14:textId="77777777" w:rsidR="00DC7601" w:rsidRPr="0033055B" w:rsidRDefault="00DC7601" w:rsidP="00842B12">
            <w:pPr>
              <w:spacing w:after="0" w:line="240" w:lineRule="auto"/>
              <w:jc w:val="center"/>
              <w:rPr>
                <w:rFonts w:cstheme="minorHAnsi"/>
              </w:rPr>
            </w:pPr>
            <w:r>
              <w:t>606.7</w:t>
            </w:r>
          </w:p>
        </w:tc>
        <w:tc>
          <w:tcPr>
            <w:tcW w:w="1833" w:type="dxa"/>
            <w:shd w:val="clear" w:color="auto" w:fill="FFFFFF" w:themeFill="background1"/>
            <w:vAlign w:val="center"/>
          </w:tcPr>
          <w:p w14:paraId="52AA3511" w14:textId="77777777" w:rsidR="00DC7601" w:rsidRPr="0033055B" w:rsidRDefault="00DC7601" w:rsidP="0028746D">
            <w:pPr>
              <w:spacing w:after="0" w:line="240" w:lineRule="auto"/>
              <w:jc w:val="center"/>
              <w:rPr>
                <w:rFonts w:cstheme="minorHAnsi"/>
              </w:rPr>
            </w:pPr>
            <w:r>
              <w:t>622.8</w:t>
            </w:r>
          </w:p>
        </w:tc>
        <w:tc>
          <w:tcPr>
            <w:tcW w:w="1833" w:type="dxa"/>
            <w:shd w:val="clear" w:color="auto" w:fill="FFFFFF" w:themeFill="background1"/>
            <w:vAlign w:val="center"/>
          </w:tcPr>
          <w:p w14:paraId="66C2AAAF" w14:textId="77777777" w:rsidR="00DC7601" w:rsidRPr="0033055B" w:rsidRDefault="00DC7601" w:rsidP="00782666">
            <w:pPr>
              <w:spacing w:after="0" w:line="240" w:lineRule="auto"/>
              <w:jc w:val="center"/>
              <w:rPr>
                <w:rFonts w:cstheme="minorHAnsi"/>
              </w:rPr>
            </w:pPr>
            <w:r>
              <w:t>634.7</w:t>
            </w:r>
          </w:p>
        </w:tc>
        <w:tc>
          <w:tcPr>
            <w:tcW w:w="1833" w:type="dxa"/>
            <w:shd w:val="clear" w:color="auto" w:fill="FFFFFF" w:themeFill="background1"/>
            <w:vAlign w:val="center"/>
          </w:tcPr>
          <w:p w14:paraId="551AEFC9" w14:textId="77777777" w:rsidR="00DC7601" w:rsidRPr="0033055B" w:rsidRDefault="00DC7601" w:rsidP="00331695">
            <w:pPr>
              <w:spacing w:after="0" w:line="240" w:lineRule="auto"/>
              <w:jc w:val="center"/>
              <w:rPr>
                <w:rFonts w:cstheme="minorHAnsi"/>
              </w:rPr>
            </w:pPr>
            <w:r>
              <w:t>650.7</w:t>
            </w:r>
          </w:p>
        </w:tc>
        <w:tc>
          <w:tcPr>
            <w:tcW w:w="1833" w:type="dxa"/>
            <w:shd w:val="clear" w:color="auto" w:fill="FFFFFF" w:themeFill="background1"/>
            <w:vAlign w:val="center"/>
          </w:tcPr>
          <w:p w14:paraId="056DE7A9" w14:textId="77777777" w:rsidR="00DC7601" w:rsidRPr="0033055B" w:rsidRDefault="00DC7601" w:rsidP="00C12D26">
            <w:pPr>
              <w:spacing w:after="0" w:line="240" w:lineRule="auto"/>
              <w:jc w:val="center"/>
              <w:rPr>
                <w:rFonts w:cstheme="minorHAnsi"/>
              </w:rPr>
            </w:pPr>
            <w:r>
              <w:t>666.6</w:t>
            </w:r>
          </w:p>
        </w:tc>
        <w:tc>
          <w:tcPr>
            <w:tcW w:w="1833" w:type="dxa"/>
            <w:shd w:val="clear" w:color="auto" w:fill="FFFFFF" w:themeFill="background1"/>
            <w:vAlign w:val="center"/>
          </w:tcPr>
          <w:p w14:paraId="645CF89D" w14:textId="77777777" w:rsidR="00DC7601" w:rsidRPr="0033055B" w:rsidRDefault="00DC7601" w:rsidP="00144A17">
            <w:pPr>
              <w:spacing w:after="0" w:line="240" w:lineRule="auto"/>
              <w:jc w:val="center"/>
              <w:rPr>
                <w:rFonts w:cstheme="minorHAnsi"/>
              </w:rPr>
            </w:pPr>
            <w:r>
              <w:t>683.2</w:t>
            </w:r>
          </w:p>
        </w:tc>
      </w:tr>
      <w:tr w:rsidR="00DC7601" w:rsidRPr="0033055B" w14:paraId="6EF0F588" w14:textId="77777777" w:rsidTr="00DC7601">
        <w:trPr>
          <w:trHeight w:val="70"/>
          <w:jc w:val="center"/>
        </w:trPr>
        <w:tc>
          <w:tcPr>
            <w:tcW w:w="2695" w:type="dxa"/>
            <w:shd w:val="clear" w:color="auto" w:fill="FFFFFF" w:themeFill="background1"/>
            <w:vAlign w:val="center"/>
          </w:tcPr>
          <w:p w14:paraId="5682521F" w14:textId="77777777" w:rsidR="00DC7601" w:rsidRPr="0033055B" w:rsidRDefault="00DC7601" w:rsidP="00FF3FF2">
            <w:pPr>
              <w:pStyle w:val="NormalWeb"/>
              <w:snapToGrid w:val="0"/>
              <w:spacing w:before="0" w:after="0"/>
              <w:rPr>
                <w:rStyle w:val="italic1"/>
                <w:rFonts w:asciiTheme="minorHAnsi" w:hAnsiTheme="minorHAnsi" w:cstheme="minorHAnsi"/>
                <w:bCs/>
                <w:i w:val="0"/>
                <w:sz w:val="22"/>
                <w:szCs w:val="22"/>
                <w:vertAlign w:val="superscript"/>
              </w:rPr>
            </w:pPr>
            <w:r>
              <w:rPr>
                <w:rStyle w:val="italic1"/>
                <w:rFonts w:asciiTheme="minorHAnsi" w:hAnsiTheme="minorHAnsi"/>
                <w:bCs/>
                <w:i w:val="0"/>
                <w:sz w:val="22"/>
                <w:szCs w:val="22"/>
              </w:rPr>
              <w:t>(2) energjia elektrike</w:t>
            </w:r>
            <w:r>
              <w:rPr>
                <w:rStyle w:val="italic1"/>
                <w:rFonts w:asciiTheme="minorHAnsi" w:hAnsiTheme="minorHAnsi"/>
                <w:bCs/>
                <w:i w:val="0"/>
                <w:sz w:val="22"/>
                <w:szCs w:val="22"/>
                <w:vertAlign w:val="superscript"/>
              </w:rPr>
              <w:t>(</w:t>
            </w:r>
            <w:r w:rsidRPr="0033055B">
              <w:rPr>
                <w:rStyle w:val="FootnoteReference"/>
                <w:rFonts w:asciiTheme="minorHAnsi" w:hAnsiTheme="minorHAnsi" w:cstheme="minorHAnsi"/>
                <w:bCs/>
                <w:iCs/>
                <w:sz w:val="22"/>
                <w:szCs w:val="22"/>
              </w:rPr>
              <w:footnoteReference w:id="7"/>
            </w:r>
            <w:r>
              <w:rPr>
                <w:rStyle w:val="italic1"/>
                <w:rFonts w:asciiTheme="minorHAnsi" w:hAnsiTheme="minorHAnsi"/>
                <w:bCs/>
                <w:i w:val="0"/>
                <w:sz w:val="22"/>
                <w:szCs w:val="22"/>
                <w:vertAlign w:val="superscript"/>
              </w:rPr>
              <w:t>)</w:t>
            </w:r>
          </w:p>
        </w:tc>
        <w:tc>
          <w:tcPr>
            <w:tcW w:w="1833" w:type="dxa"/>
            <w:shd w:val="clear" w:color="auto" w:fill="FFFFFF" w:themeFill="background1"/>
            <w:vAlign w:val="center"/>
          </w:tcPr>
          <w:p w14:paraId="60955F34" w14:textId="77777777" w:rsidR="00DC7601" w:rsidRPr="0033055B" w:rsidRDefault="00DC7601" w:rsidP="00842B12">
            <w:pPr>
              <w:spacing w:after="0" w:line="240" w:lineRule="auto"/>
              <w:jc w:val="center"/>
              <w:rPr>
                <w:rFonts w:cstheme="minorHAnsi"/>
              </w:rPr>
            </w:pPr>
            <w:r>
              <w:t>537.4</w:t>
            </w:r>
          </w:p>
        </w:tc>
        <w:tc>
          <w:tcPr>
            <w:tcW w:w="1833" w:type="dxa"/>
            <w:shd w:val="clear" w:color="auto" w:fill="FFFFFF" w:themeFill="background1"/>
            <w:vAlign w:val="center"/>
          </w:tcPr>
          <w:p w14:paraId="5D7235F7" w14:textId="77777777" w:rsidR="00DC7601" w:rsidRPr="0033055B" w:rsidRDefault="00DC7601" w:rsidP="0028746D">
            <w:pPr>
              <w:spacing w:after="0" w:line="240" w:lineRule="auto"/>
              <w:jc w:val="center"/>
              <w:rPr>
                <w:rFonts w:cstheme="minorHAnsi"/>
              </w:rPr>
            </w:pPr>
            <w:r>
              <w:t>548.4</w:t>
            </w:r>
          </w:p>
        </w:tc>
        <w:tc>
          <w:tcPr>
            <w:tcW w:w="1833" w:type="dxa"/>
            <w:shd w:val="clear" w:color="auto" w:fill="FFFFFF" w:themeFill="background1"/>
            <w:vAlign w:val="center"/>
          </w:tcPr>
          <w:p w14:paraId="018D2A0A" w14:textId="77777777" w:rsidR="00DC7601" w:rsidRPr="0033055B" w:rsidRDefault="00DC7601" w:rsidP="00782666">
            <w:pPr>
              <w:spacing w:after="0" w:line="240" w:lineRule="auto"/>
              <w:jc w:val="center"/>
              <w:rPr>
                <w:rFonts w:cstheme="minorHAnsi"/>
              </w:rPr>
            </w:pPr>
            <w:r>
              <w:t>563.3</w:t>
            </w:r>
          </w:p>
        </w:tc>
        <w:tc>
          <w:tcPr>
            <w:tcW w:w="1833" w:type="dxa"/>
            <w:shd w:val="clear" w:color="auto" w:fill="FFFFFF" w:themeFill="background1"/>
            <w:vAlign w:val="center"/>
          </w:tcPr>
          <w:p w14:paraId="1F9264ED" w14:textId="77777777" w:rsidR="00DC7601" w:rsidRPr="0033055B" w:rsidRDefault="00DC7601" w:rsidP="00331695">
            <w:pPr>
              <w:spacing w:after="0" w:line="240" w:lineRule="auto"/>
              <w:jc w:val="center"/>
              <w:rPr>
                <w:rFonts w:cstheme="minorHAnsi"/>
              </w:rPr>
            </w:pPr>
            <w:r>
              <w:t>574.8</w:t>
            </w:r>
          </w:p>
        </w:tc>
        <w:tc>
          <w:tcPr>
            <w:tcW w:w="1833" w:type="dxa"/>
            <w:shd w:val="clear" w:color="auto" w:fill="FFFFFF" w:themeFill="background1"/>
            <w:vAlign w:val="center"/>
          </w:tcPr>
          <w:p w14:paraId="4E36A0C7" w14:textId="77777777" w:rsidR="00DC7601" w:rsidRPr="0033055B" w:rsidRDefault="00DC7601" w:rsidP="00C12D26">
            <w:pPr>
              <w:spacing w:after="0" w:line="240" w:lineRule="auto"/>
              <w:jc w:val="center"/>
              <w:rPr>
                <w:rFonts w:cstheme="minorHAnsi"/>
              </w:rPr>
            </w:pPr>
            <w:r>
              <w:t>612.6</w:t>
            </w:r>
          </w:p>
        </w:tc>
        <w:tc>
          <w:tcPr>
            <w:tcW w:w="1833" w:type="dxa"/>
            <w:shd w:val="clear" w:color="auto" w:fill="FFFFFF" w:themeFill="background1"/>
            <w:vAlign w:val="center"/>
          </w:tcPr>
          <w:p w14:paraId="20C2DEFB" w14:textId="77777777" w:rsidR="00DC7601" w:rsidRPr="0033055B" w:rsidRDefault="00DC7601" w:rsidP="00144A17">
            <w:pPr>
              <w:spacing w:after="0" w:line="240" w:lineRule="auto"/>
              <w:jc w:val="center"/>
              <w:rPr>
                <w:rFonts w:cstheme="minorHAnsi"/>
              </w:rPr>
            </w:pPr>
            <w:r>
              <w:t>625.5</w:t>
            </w:r>
          </w:p>
        </w:tc>
      </w:tr>
      <w:tr w:rsidR="00DC7601" w:rsidRPr="0033055B" w14:paraId="4918C60C" w14:textId="77777777" w:rsidTr="00DC7601">
        <w:trPr>
          <w:trHeight w:val="587"/>
          <w:jc w:val="center"/>
        </w:trPr>
        <w:tc>
          <w:tcPr>
            <w:tcW w:w="2695" w:type="dxa"/>
            <w:shd w:val="clear" w:color="auto" w:fill="FFFFFF" w:themeFill="background1"/>
            <w:vAlign w:val="center"/>
          </w:tcPr>
          <w:p w14:paraId="2D086502" w14:textId="77777777" w:rsidR="00DC7601" w:rsidRPr="0033055B" w:rsidRDefault="00DC7601" w:rsidP="00FF3FF2">
            <w:pPr>
              <w:pStyle w:val="NormalWeb"/>
              <w:snapToGrid w:val="0"/>
              <w:spacing w:before="0" w:after="0"/>
              <w:rPr>
                <w:rStyle w:val="italic1"/>
                <w:rFonts w:asciiTheme="minorHAnsi" w:hAnsiTheme="minorHAnsi" w:cstheme="minorHAnsi"/>
                <w:bCs/>
                <w:i w:val="0"/>
                <w:sz w:val="22"/>
                <w:szCs w:val="22"/>
              </w:rPr>
            </w:pPr>
            <w:r>
              <w:rPr>
                <w:rStyle w:val="italic1"/>
                <w:rFonts w:asciiTheme="minorHAnsi" w:hAnsiTheme="minorHAnsi"/>
                <w:bCs/>
                <w:i w:val="0"/>
                <w:sz w:val="22"/>
                <w:szCs w:val="22"/>
              </w:rPr>
              <w:t xml:space="preserve">(3) </w:t>
            </w:r>
            <w:r>
              <w:rPr>
                <w:rFonts w:asciiTheme="minorHAnsi" w:hAnsiTheme="minorHAnsi"/>
                <w:sz w:val="22"/>
                <w:szCs w:val="22"/>
              </w:rPr>
              <w:t xml:space="preserve">transporti sipas Nenit 3(4)a </w:t>
            </w:r>
            <w:r>
              <w:rPr>
                <w:rFonts w:asciiTheme="minorHAnsi" w:hAnsiTheme="minorHAnsi"/>
                <w:sz w:val="22"/>
                <w:szCs w:val="22"/>
                <w:vertAlign w:val="superscript"/>
              </w:rPr>
              <w:t>(</w:t>
            </w:r>
            <w:r w:rsidRPr="0033055B">
              <w:rPr>
                <w:rStyle w:val="FootnoteReference"/>
                <w:rFonts w:asciiTheme="minorHAnsi" w:hAnsiTheme="minorHAnsi" w:cstheme="minorHAnsi"/>
                <w:sz w:val="22"/>
                <w:szCs w:val="22"/>
              </w:rPr>
              <w:footnoteReference w:id="8"/>
            </w:r>
            <w:r>
              <w:rPr>
                <w:rFonts w:asciiTheme="minorHAnsi" w:hAnsiTheme="minorHAnsi"/>
                <w:sz w:val="22"/>
                <w:szCs w:val="22"/>
                <w:vertAlign w:val="superscript"/>
              </w:rPr>
              <w:t>)</w:t>
            </w:r>
          </w:p>
        </w:tc>
        <w:tc>
          <w:tcPr>
            <w:tcW w:w="1833" w:type="dxa"/>
            <w:shd w:val="clear" w:color="auto" w:fill="FFFFFF" w:themeFill="background1"/>
            <w:vAlign w:val="center"/>
          </w:tcPr>
          <w:p w14:paraId="3617C848" w14:textId="77777777" w:rsidR="00DC7601" w:rsidRPr="0033055B" w:rsidRDefault="00DC7601" w:rsidP="00842B12">
            <w:pPr>
              <w:spacing w:after="0" w:line="240" w:lineRule="auto"/>
              <w:jc w:val="center"/>
              <w:rPr>
                <w:rFonts w:cstheme="minorHAnsi"/>
              </w:rPr>
            </w:pPr>
            <w:r>
              <w:t>366.7</w:t>
            </w:r>
          </w:p>
        </w:tc>
        <w:tc>
          <w:tcPr>
            <w:tcW w:w="1833" w:type="dxa"/>
            <w:shd w:val="clear" w:color="auto" w:fill="FFFFFF" w:themeFill="background1"/>
            <w:vAlign w:val="center"/>
          </w:tcPr>
          <w:p w14:paraId="496B41BB" w14:textId="77777777" w:rsidR="00DC7601" w:rsidRPr="0033055B" w:rsidRDefault="00DC7601" w:rsidP="0028746D">
            <w:pPr>
              <w:spacing w:after="0" w:line="240" w:lineRule="auto"/>
              <w:jc w:val="center"/>
              <w:rPr>
                <w:rFonts w:cstheme="minorHAnsi"/>
              </w:rPr>
            </w:pPr>
            <w:r>
              <w:t>373.8</w:t>
            </w:r>
          </w:p>
        </w:tc>
        <w:tc>
          <w:tcPr>
            <w:tcW w:w="1833" w:type="dxa"/>
            <w:shd w:val="clear" w:color="auto" w:fill="FFFFFF" w:themeFill="background1"/>
            <w:vAlign w:val="center"/>
          </w:tcPr>
          <w:p w14:paraId="32C57907" w14:textId="77777777" w:rsidR="00DC7601" w:rsidRPr="0033055B" w:rsidRDefault="00DC7601" w:rsidP="00782666">
            <w:pPr>
              <w:spacing w:after="0" w:line="240" w:lineRule="auto"/>
              <w:jc w:val="center"/>
              <w:rPr>
                <w:rFonts w:cstheme="minorHAnsi"/>
              </w:rPr>
            </w:pPr>
            <w:r>
              <w:t>376.9</w:t>
            </w:r>
          </w:p>
        </w:tc>
        <w:tc>
          <w:tcPr>
            <w:tcW w:w="1833" w:type="dxa"/>
            <w:shd w:val="clear" w:color="auto" w:fill="FFFFFF" w:themeFill="background1"/>
            <w:vAlign w:val="center"/>
          </w:tcPr>
          <w:p w14:paraId="5CC0D011" w14:textId="77777777" w:rsidR="00DC7601" w:rsidRPr="0033055B" w:rsidRDefault="00DC7601" w:rsidP="00331695">
            <w:pPr>
              <w:spacing w:after="0" w:line="240" w:lineRule="auto"/>
              <w:jc w:val="center"/>
              <w:rPr>
                <w:rFonts w:cstheme="minorHAnsi"/>
              </w:rPr>
            </w:pPr>
            <w:r>
              <w:t>383.7</w:t>
            </w:r>
          </w:p>
        </w:tc>
        <w:tc>
          <w:tcPr>
            <w:tcW w:w="1833" w:type="dxa"/>
            <w:shd w:val="clear" w:color="auto" w:fill="FFFFFF" w:themeFill="background1"/>
            <w:vAlign w:val="center"/>
          </w:tcPr>
          <w:p w14:paraId="6BFB03CD" w14:textId="77777777" w:rsidR="00DC7601" w:rsidRPr="0033055B" w:rsidRDefault="00DC7601" w:rsidP="00C12D26">
            <w:pPr>
              <w:spacing w:after="0" w:line="240" w:lineRule="auto"/>
              <w:jc w:val="center"/>
              <w:rPr>
                <w:rFonts w:cstheme="minorHAnsi"/>
              </w:rPr>
            </w:pPr>
            <w:r>
              <w:t>390.3</w:t>
            </w:r>
          </w:p>
        </w:tc>
        <w:tc>
          <w:tcPr>
            <w:tcW w:w="1833" w:type="dxa"/>
            <w:shd w:val="clear" w:color="auto" w:fill="FFFFFF" w:themeFill="background1"/>
            <w:vAlign w:val="center"/>
          </w:tcPr>
          <w:p w14:paraId="17CDB155" w14:textId="77777777" w:rsidR="00DC7601" w:rsidRPr="0033055B" w:rsidRDefault="00DC7601" w:rsidP="00144A17">
            <w:pPr>
              <w:spacing w:after="0" w:line="240" w:lineRule="auto"/>
              <w:jc w:val="center"/>
              <w:rPr>
                <w:rFonts w:cstheme="minorHAnsi"/>
              </w:rPr>
            </w:pPr>
            <w:r>
              <w:t>396.9</w:t>
            </w:r>
          </w:p>
        </w:tc>
      </w:tr>
      <w:tr w:rsidR="00DC7601" w:rsidRPr="0033055B" w14:paraId="2D661368" w14:textId="77777777" w:rsidTr="00DC7601">
        <w:trPr>
          <w:trHeight w:val="587"/>
          <w:jc w:val="center"/>
        </w:trPr>
        <w:tc>
          <w:tcPr>
            <w:tcW w:w="2695" w:type="dxa"/>
            <w:shd w:val="clear" w:color="auto" w:fill="FFFFFF" w:themeFill="background1"/>
            <w:vAlign w:val="center"/>
          </w:tcPr>
          <w:p w14:paraId="56728EBA" w14:textId="77777777" w:rsidR="00DC7601" w:rsidRPr="0033055B" w:rsidRDefault="00DC7601" w:rsidP="00FF3FF2">
            <w:pPr>
              <w:pStyle w:val="NormalWeb"/>
              <w:snapToGrid w:val="0"/>
              <w:spacing w:before="0" w:after="0"/>
              <w:rPr>
                <w:rFonts w:asciiTheme="minorHAnsi" w:hAnsiTheme="minorHAnsi" w:cstheme="minorHAnsi"/>
                <w:sz w:val="22"/>
                <w:szCs w:val="22"/>
              </w:rPr>
            </w:pPr>
            <w:r>
              <w:rPr>
                <w:rStyle w:val="italic1"/>
                <w:rFonts w:asciiTheme="minorHAnsi" w:hAnsiTheme="minorHAnsi"/>
                <w:bCs/>
                <w:i w:val="0"/>
                <w:sz w:val="22"/>
                <w:szCs w:val="22"/>
              </w:rPr>
              <w:t>(4) Konsumi bruto final i energjisë</w:t>
            </w:r>
            <w:r w:rsidRPr="0033055B">
              <w:rPr>
                <w:rStyle w:val="Smbolodenotaalpie"/>
                <w:rFonts w:asciiTheme="minorHAnsi" w:hAnsiTheme="minorHAnsi" w:cstheme="minorHAnsi"/>
                <w:bCs/>
                <w:iCs/>
                <w:sz w:val="22"/>
                <w:szCs w:val="22"/>
              </w:rPr>
              <w:footnoteReference w:id="9"/>
            </w:r>
            <w:r>
              <w:rPr>
                <w:rStyle w:val="italic1"/>
                <w:rFonts w:asciiTheme="minorHAnsi" w:hAnsiTheme="minorHAnsi"/>
                <w:bCs/>
                <w:i w:val="0"/>
                <w:sz w:val="22"/>
                <w:szCs w:val="22"/>
              </w:rPr>
              <w:t xml:space="preserve"> </w:t>
            </w:r>
          </w:p>
        </w:tc>
        <w:tc>
          <w:tcPr>
            <w:tcW w:w="1833" w:type="dxa"/>
            <w:shd w:val="clear" w:color="auto" w:fill="FFFFFF" w:themeFill="background1"/>
            <w:vAlign w:val="center"/>
          </w:tcPr>
          <w:p w14:paraId="03DA63A5" w14:textId="77777777" w:rsidR="00DC7601" w:rsidRPr="0033055B" w:rsidRDefault="00DC7601" w:rsidP="00842B12">
            <w:pPr>
              <w:spacing w:after="0" w:line="240" w:lineRule="auto"/>
              <w:jc w:val="center"/>
              <w:rPr>
                <w:rFonts w:cstheme="minorHAnsi"/>
              </w:rPr>
            </w:pPr>
            <w:r>
              <w:t>1,522.7</w:t>
            </w:r>
          </w:p>
        </w:tc>
        <w:tc>
          <w:tcPr>
            <w:tcW w:w="1833" w:type="dxa"/>
            <w:shd w:val="clear" w:color="auto" w:fill="FFFFFF" w:themeFill="background1"/>
            <w:vAlign w:val="center"/>
          </w:tcPr>
          <w:p w14:paraId="6C2D5DE5" w14:textId="77777777" w:rsidR="00DC7601" w:rsidRPr="0033055B" w:rsidRDefault="00DC7601" w:rsidP="0028746D">
            <w:pPr>
              <w:spacing w:after="0" w:line="240" w:lineRule="auto"/>
              <w:jc w:val="center"/>
              <w:rPr>
                <w:rFonts w:cstheme="minorHAnsi"/>
              </w:rPr>
            </w:pPr>
            <w:r>
              <w:t>1,557.0</w:t>
            </w:r>
          </w:p>
        </w:tc>
        <w:tc>
          <w:tcPr>
            <w:tcW w:w="1833" w:type="dxa"/>
            <w:shd w:val="clear" w:color="auto" w:fill="FFFFFF" w:themeFill="background1"/>
            <w:vAlign w:val="center"/>
          </w:tcPr>
          <w:p w14:paraId="237819CC" w14:textId="77777777" w:rsidR="00DC7601" w:rsidRPr="0033055B" w:rsidRDefault="00DC7601" w:rsidP="00782666">
            <w:pPr>
              <w:spacing w:after="0" w:line="240" w:lineRule="auto"/>
              <w:jc w:val="center"/>
              <w:rPr>
                <w:rFonts w:cstheme="minorHAnsi"/>
              </w:rPr>
            </w:pPr>
            <w:r>
              <w:t>1,592.0</w:t>
            </w:r>
          </w:p>
        </w:tc>
        <w:tc>
          <w:tcPr>
            <w:tcW w:w="1833" w:type="dxa"/>
            <w:shd w:val="clear" w:color="auto" w:fill="FFFFFF" w:themeFill="background1"/>
            <w:vAlign w:val="center"/>
          </w:tcPr>
          <w:p w14:paraId="51826779" w14:textId="77777777" w:rsidR="00DC7601" w:rsidRPr="0033055B" w:rsidRDefault="00DC7601" w:rsidP="00331695">
            <w:pPr>
              <w:spacing w:after="0" w:line="240" w:lineRule="auto"/>
              <w:jc w:val="center"/>
              <w:rPr>
                <w:rFonts w:cstheme="minorHAnsi"/>
              </w:rPr>
            </w:pPr>
            <w:r>
              <w:t>1,629.0</w:t>
            </w:r>
          </w:p>
        </w:tc>
        <w:tc>
          <w:tcPr>
            <w:tcW w:w="1833" w:type="dxa"/>
            <w:shd w:val="clear" w:color="auto" w:fill="FFFFFF" w:themeFill="background1"/>
            <w:vAlign w:val="center"/>
          </w:tcPr>
          <w:p w14:paraId="12C867EC" w14:textId="77777777" w:rsidR="00DC7601" w:rsidRPr="0033055B" w:rsidRDefault="00DC7601" w:rsidP="00C12D26">
            <w:pPr>
              <w:spacing w:after="0" w:line="240" w:lineRule="auto"/>
              <w:jc w:val="center"/>
              <w:rPr>
                <w:rFonts w:cstheme="minorHAnsi"/>
              </w:rPr>
            </w:pPr>
            <w:r>
              <w:t>1,694.8</w:t>
            </w:r>
          </w:p>
        </w:tc>
        <w:tc>
          <w:tcPr>
            <w:tcW w:w="1833" w:type="dxa"/>
            <w:shd w:val="clear" w:color="auto" w:fill="FFFFFF" w:themeFill="background1"/>
            <w:vAlign w:val="center"/>
          </w:tcPr>
          <w:p w14:paraId="2D478FD8" w14:textId="77777777" w:rsidR="00DC7601" w:rsidRPr="0033055B" w:rsidRDefault="00DC7601" w:rsidP="00144A17">
            <w:pPr>
              <w:spacing w:after="0" w:line="240" w:lineRule="auto"/>
              <w:jc w:val="center"/>
              <w:rPr>
                <w:rFonts w:cstheme="minorHAnsi"/>
              </w:rPr>
            </w:pPr>
            <w:r>
              <w:t>1,735.9</w:t>
            </w:r>
          </w:p>
        </w:tc>
      </w:tr>
    </w:tbl>
    <w:p w14:paraId="400350A0" w14:textId="3431FAD7" w:rsidR="005E4A0E" w:rsidRPr="0033055B" w:rsidRDefault="00343EE1" w:rsidP="005E4A0E">
      <w:pPr>
        <w:spacing w:before="120" w:after="120" w:line="240" w:lineRule="auto"/>
        <w:jc w:val="center"/>
        <w:rPr>
          <w:rFonts w:cstheme="minorHAnsi"/>
          <w:b/>
        </w:rPr>
      </w:pPr>
      <w:bookmarkStart w:id="14" w:name="_Toc518377696"/>
      <w:r>
        <w:rPr>
          <w:rFonts w:ascii="Calibri" w:hAnsi="Calibri"/>
          <w:b/>
          <w:iCs/>
        </w:rPr>
        <w:t xml:space="preserve">Tabela </w:t>
      </w:r>
      <w:r w:rsidR="00724C64" w:rsidRPr="0033055B">
        <w:rPr>
          <w:rFonts w:ascii="Calibri" w:eastAsia="Calibri" w:hAnsi="Calibri"/>
          <w:b/>
          <w:iCs/>
        </w:rPr>
        <w:fldChar w:fldCharType="begin"/>
      </w:r>
      <w:r w:rsidR="00724C64" w:rsidRPr="00B973C7">
        <w:rPr>
          <w:rFonts w:ascii="Calibri" w:eastAsia="Calibri" w:hAnsi="Calibri"/>
          <w:b/>
          <w:iCs/>
        </w:rPr>
        <w:instrText xml:space="preserve"> SEQ Table \* ARABIC </w:instrText>
      </w:r>
      <w:r w:rsidR="00724C64" w:rsidRPr="0033055B">
        <w:rPr>
          <w:rFonts w:ascii="Calibri" w:eastAsia="Calibri" w:hAnsi="Calibri"/>
          <w:b/>
          <w:iCs/>
        </w:rPr>
        <w:fldChar w:fldCharType="separate"/>
      </w:r>
      <w:r w:rsidR="00DC4741">
        <w:rPr>
          <w:rFonts w:ascii="Calibri" w:eastAsia="Calibri" w:hAnsi="Calibri"/>
          <w:b/>
          <w:iCs/>
          <w:noProof/>
        </w:rPr>
        <w:t>4</w:t>
      </w:r>
      <w:r w:rsidR="00724C64" w:rsidRPr="0033055B">
        <w:rPr>
          <w:rFonts w:ascii="Calibri" w:eastAsia="Calibri" w:hAnsi="Calibri"/>
          <w:b/>
          <w:iCs/>
        </w:rPr>
        <w:fldChar w:fldCharType="end"/>
      </w:r>
      <w:r w:rsidR="009A725A">
        <w:rPr>
          <w:b/>
        </w:rPr>
        <w:t>: B</w:t>
      </w:r>
      <w:r>
        <w:rPr>
          <w:b/>
        </w:rPr>
        <w:t xml:space="preserve">ruto </w:t>
      </w:r>
      <w:r w:rsidR="009A725A">
        <w:rPr>
          <w:b/>
        </w:rPr>
        <w:t xml:space="preserve">konsumi </w:t>
      </w:r>
      <w:r>
        <w:rPr>
          <w:b/>
        </w:rPr>
        <w:t xml:space="preserve">final i </w:t>
      </w:r>
      <w:r w:rsidR="009A725A">
        <w:rPr>
          <w:b/>
        </w:rPr>
        <w:t xml:space="preserve">parashikuar i </w:t>
      </w:r>
      <w:r>
        <w:rPr>
          <w:b/>
        </w:rPr>
        <w:t>energjisë në Kosovë në ngrohje e ftohje, energji elektrike dhe transport deri më 2020, duke marrë parasysh efektet e efiçiencës së energjisë dhe masat e kursimit të energjisë (ktoe).</w:t>
      </w:r>
      <w:bookmarkEnd w:id="14"/>
    </w:p>
    <w:p w14:paraId="5A38EDC7" w14:textId="77777777" w:rsidR="00343EE1" w:rsidRPr="0033055B" w:rsidRDefault="00343EE1" w:rsidP="005E4A0E">
      <w:pPr>
        <w:spacing w:before="120" w:after="120" w:line="240" w:lineRule="auto"/>
        <w:jc w:val="center"/>
        <w:rPr>
          <w:rFonts w:cstheme="minorHAnsi"/>
          <w:b/>
          <w:lang w:val="en-GB"/>
        </w:rPr>
      </w:pPr>
    </w:p>
    <w:p w14:paraId="5506DB76" w14:textId="77777777" w:rsidR="005E4A0E" w:rsidRPr="0033055B" w:rsidRDefault="005E4A0E" w:rsidP="005E4A0E">
      <w:pPr>
        <w:spacing w:before="120" w:after="120" w:line="240" w:lineRule="auto"/>
        <w:jc w:val="both"/>
        <w:rPr>
          <w:rFonts w:cstheme="minorHAnsi"/>
          <w:lang w:val="en-GB"/>
        </w:rPr>
        <w:sectPr w:rsidR="005E4A0E" w:rsidRPr="0033055B" w:rsidSect="00160C6D">
          <w:pgSz w:w="15840" w:h="12240" w:orient="landscape"/>
          <w:pgMar w:top="1440" w:right="1440" w:bottom="1440" w:left="1440" w:header="720" w:footer="720" w:gutter="0"/>
          <w:cols w:space="720"/>
          <w:docGrid w:linePitch="360"/>
        </w:sectPr>
      </w:pPr>
    </w:p>
    <w:p w14:paraId="031E147D" w14:textId="0F5078B8" w:rsidR="00995F89" w:rsidRPr="0033055B" w:rsidRDefault="00995F89" w:rsidP="00455E08">
      <w:pPr>
        <w:pStyle w:val="Heading1"/>
        <w:spacing w:after="240" w:line="240" w:lineRule="auto"/>
        <w:rPr>
          <w:rFonts w:asciiTheme="minorHAnsi" w:hAnsiTheme="minorHAnsi" w:cstheme="minorHAnsi"/>
          <w:b/>
          <w:color w:val="auto"/>
          <w:sz w:val="28"/>
          <w:szCs w:val="28"/>
        </w:rPr>
      </w:pPr>
      <w:bookmarkStart w:id="15" w:name="_Toc518377679"/>
      <w:r>
        <w:rPr>
          <w:rFonts w:asciiTheme="minorHAnsi" w:hAnsiTheme="minorHAnsi"/>
          <w:b/>
          <w:color w:val="auto"/>
          <w:sz w:val="28"/>
          <w:szCs w:val="28"/>
        </w:rPr>
        <w:t>3. CAQE</w:t>
      </w:r>
      <w:r w:rsidR="009A725A">
        <w:rPr>
          <w:rFonts w:asciiTheme="minorHAnsi" w:hAnsiTheme="minorHAnsi"/>
          <w:b/>
          <w:color w:val="auto"/>
          <w:sz w:val="28"/>
          <w:szCs w:val="28"/>
        </w:rPr>
        <w:t xml:space="preserve">T DHE TRAJEKTORET E ENERGJISË NGA BURIMET E </w:t>
      </w:r>
      <w:r>
        <w:rPr>
          <w:rFonts w:asciiTheme="minorHAnsi" w:hAnsiTheme="minorHAnsi"/>
          <w:b/>
          <w:color w:val="auto"/>
          <w:sz w:val="28"/>
          <w:szCs w:val="28"/>
        </w:rPr>
        <w:t xml:space="preserve"> RIPËRTËRISHME</w:t>
      </w:r>
      <w:bookmarkEnd w:id="15"/>
    </w:p>
    <w:p w14:paraId="3404B1FD" w14:textId="07CF6179" w:rsidR="00995F89" w:rsidRPr="0033055B" w:rsidRDefault="00995F89" w:rsidP="00B973C7">
      <w:pPr>
        <w:pStyle w:val="Heading2"/>
        <w:rPr>
          <w:rFonts w:cstheme="minorHAnsi"/>
        </w:rPr>
      </w:pPr>
      <w:bookmarkStart w:id="16" w:name="_Toc518377680"/>
      <w:r>
        <w:t xml:space="preserve">3.1. Caku i përgjithshëm </w:t>
      </w:r>
      <w:bookmarkEnd w:id="16"/>
    </w:p>
    <w:p w14:paraId="332D01B1" w14:textId="26F14062" w:rsidR="00100A82" w:rsidRPr="0033055B" w:rsidRDefault="00515F07" w:rsidP="005E4A0E">
      <w:pPr>
        <w:spacing w:before="120" w:after="120" w:line="240" w:lineRule="auto"/>
        <w:jc w:val="both"/>
      </w:pPr>
      <w:r>
        <w:t>Caku i përgjithshëm obligativ shtetëror për p</w:t>
      </w:r>
      <w:r w:rsidR="009A725A">
        <w:t>jesëmarrjen</w:t>
      </w:r>
      <w:r>
        <w:t xml:space="preserve"> e energjisë nga BRE-të në konsumin final bruto të energjisë në vitin 2020 është 25%, sipas Vendimit të Këshillimit Ministror të Komunitetit të Energjisë D/2012/04/</w:t>
      </w:r>
      <w:r w:rsidRPr="008F40C0">
        <w:rPr>
          <w:color w:val="FF0000"/>
        </w:rPr>
        <w:t xml:space="preserve">MC-EnC </w:t>
      </w:r>
      <w:r>
        <w:t>për zbatimin e Direktivës 2009/28/EC, si dhe për ndryshimin e nenit 20 të Traktatit të Komunitetit të Energjisë.</w:t>
      </w:r>
    </w:p>
    <w:p w14:paraId="60A6B86B" w14:textId="6F5E49F7" w:rsidR="009064E3" w:rsidRPr="0033055B" w:rsidRDefault="00FE5716" w:rsidP="009064E3">
      <w:pPr>
        <w:spacing w:before="120" w:after="120" w:line="240" w:lineRule="auto"/>
        <w:jc w:val="both"/>
      </w:pPr>
      <w:r>
        <w:t>Prioritet është përmbushja</w:t>
      </w:r>
      <w:r w:rsidR="00340705">
        <w:t xml:space="preserve"> e cakut obligativ për pjesëmarrjen e</w:t>
      </w:r>
      <w:r>
        <w:t xml:space="preserve"> BRE-ve prej 25% deri më 2020. Kështu, caku obligativ prej 25% definohet si cak i rishikuar për Kosovën duke marrë parasysh penetrimin e BRE-ve deri më 2020. Për më tepër, mekanizmat e mbështetjes financiare që përdoren (tarifat hyrëse) janë në dispozicion për të arritur cakun vullnetar, ashtu që të tërhiqen më shumë investitorë në sektorin e BRE-ve. </w:t>
      </w:r>
    </w:p>
    <w:p w14:paraId="76FDC7E5" w14:textId="433461EF" w:rsidR="00100A82" w:rsidRPr="0033055B" w:rsidRDefault="001D3F4A" w:rsidP="00455E08">
      <w:pPr>
        <w:spacing w:before="120" w:after="120" w:line="240" w:lineRule="auto"/>
        <w:jc w:val="center"/>
        <w:rPr>
          <w:rFonts w:cstheme="minorHAnsi"/>
        </w:rPr>
      </w:pPr>
      <w:bookmarkStart w:id="17" w:name="_Toc518377697"/>
      <w:r>
        <w:rPr>
          <w:rFonts w:ascii="Calibri" w:hAnsi="Calibri"/>
          <w:b/>
          <w:iCs/>
        </w:rPr>
        <w:t xml:space="preserve">Tabela </w:t>
      </w:r>
      <w:r w:rsidR="00724C64" w:rsidRPr="0033055B">
        <w:rPr>
          <w:rFonts w:ascii="Calibri" w:eastAsia="Calibri" w:hAnsi="Calibri"/>
          <w:b/>
          <w:iCs/>
        </w:rPr>
        <w:fldChar w:fldCharType="begin"/>
      </w:r>
      <w:r w:rsidRPr="0033055B">
        <w:rPr>
          <w:rFonts w:ascii="Calibri" w:eastAsia="Calibri" w:hAnsi="Calibri"/>
          <w:b/>
          <w:iCs/>
        </w:rPr>
        <w:instrText xml:space="preserve"> SEQ Table \* ARABIC </w:instrText>
      </w:r>
      <w:r w:rsidR="00724C64" w:rsidRPr="0033055B">
        <w:rPr>
          <w:rFonts w:ascii="Calibri" w:eastAsia="Calibri" w:hAnsi="Calibri"/>
          <w:b/>
          <w:iCs/>
        </w:rPr>
        <w:fldChar w:fldCharType="separate"/>
      </w:r>
      <w:r w:rsidR="00DC4741">
        <w:rPr>
          <w:rFonts w:ascii="Calibri" w:eastAsia="Calibri" w:hAnsi="Calibri"/>
          <w:b/>
          <w:iCs/>
          <w:noProof/>
        </w:rPr>
        <w:t>5</w:t>
      </w:r>
      <w:r w:rsidR="00724C64" w:rsidRPr="0033055B">
        <w:rPr>
          <w:rFonts w:ascii="Calibri" w:eastAsia="Calibri" w:hAnsi="Calibri"/>
          <w:b/>
          <w:iCs/>
        </w:rPr>
        <w:fldChar w:fldCharType="end"/>
      </w:r>
      <w:r>
        <w:rPr>
          <w:b/>
        </w:rPr>
        <w:t>:</w:t>
      </w:r>
      <w:r>
        <w:rPr>
          <w:rStyle w:val="italic1"/>
          <w:b/>
          <w:bCs/>
          <w:i w:val="0"/>
        </w:rPr>
        <w:t>Caku i përgjithshëm shtetëror për pjesën e energjisë nga burimet e ripërtërishme në konsumin final bruto të energjisë më 2009 dhe 2020.</w:t>
      </w:r>
      <w:bookmarkEnd w:id="17"/>
    </w:p>
    <w:tbl>
      <w:tblPr>
        <w:tblW w:w="8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5"/>
        <w:gridCol w:w="2362"/>
      </w:tblGrid>
      <w:tr w:rsidR="00C66DF0" w:rsidRPr="0033055B" w14:paraId="137EF496" w14:textId="77777777" w:rsidTr="007563F9">
        <w:trPr>
          <w:jc w:val="center"/>
        </w:trPr>
        <w:tc>
          <w:tcPr>
            <w:tcW w:w="6205" w:type="dxa"/>
          </w:tcPr>
          <w:p w14:paraId="00EA9308" w14:textId="4DF71BFA" w:rsidR="00C66DF0" w:rsidRPr="0033055B" w:rsidRDefault="00340705" w:rsidP="00A72E72">
            <w:pPr>
              <w:pStyle w:val="NormalWeb"/>
              <w:snapToGrid w:val="0"/>
              <w:spacing w:before="0" w:after="0"/>
              <w:jc w:val="both"/>
              <w:rPr>
                <w:rStyle w:val="italic1"/>
                <w:rFonts w:asciiTheme="minorHAnsi" w:hAnsiTheme="minorHAnsi" w:cstheme="minorHAnsi"/>
                <w:b/>
                <w:bCs/>
                <w:i w:val="0"/>
                <w:sz w:val="22"/>
                <w:szCs w:val="22"/>
              </w:rPr>
            </w:pPr>
            <w:r>
              <w:rPr>
                <w:rStyle w:val="italic1"/>
                <w:rFonts w:asciiTheme="minorHAnsi" w:hAnsiTheme="minorHAnsi"/>
                <w:b/>
                <w:bCs/>
                <w:i w:val="0"/>
                <w:sz w:val="22"/>
                <w:szCs w:val="22"/>
              </w:rPr>
              <w:t>(A) Pjesëmarrja</w:t>
            </w:r>
            <w:r w:rsidR="00C66DF0">
              <w:rPr>
                <w:rStyle w:val="italic1"/>
                <w:rFonts w:asciiTheme="minorHAnsi" w:hAnsiTheme="minorHAnsi"/>
                <w:b/>
                <w:bCs/>
                <w:i w:val="0"/>
                <w:sz w:val="22"/>
                <w:szCs w:val="22"/>
              </w:rPr>
              <w:t xml:space="preserve"> e energjisë nga burimet e ripërtrishme në konsumin final bruto të energjisë më 2009 (S</w:t>
            </w:r>
            <w:r w:rsidR="00C66DF0">
              <w:rPr>
                <w:rStyle w:val="italic1"/>
                <w:rFonts w:asciiTheme="minorHAnsi" w:hAnsiTheme="minorHAnsi"/>
                <w:b/>
                <w:bCs/>
                <w:i w:val="0"/>
                <w:sz w:val="22"/>
                <w:szCs w:val="22"/>
                <w:vertAlign w:val="subscript"/>
              </w:rPr>
              <w:t>2009</w:t>
            </w:r>
            <w:r w:rsidR="00C66DF0">
              <w:rPr>
                <w:rStyle w:val="italic1"/>
                <w:rFonts w:asciiTheme="minorHAnsi" w:hAnsiTheme="minorHAnsi"/>
                <w:b/>
                <w:bCs/>
                <w:i w:val="0"/>
                <w:sz w:val="22"/>
                <w:szCs w:val="22"/>
              </w:rPr>
              <w:t>):</w:t>
            </w:r>
          </w:p>
        </w:tc>
        <w:tc>
          <w:tcPr>
            <w:tcW w:w="2362" w:type="dxa"/>
            <w:vAlign w:val="center"/>
          </w:tcPr>
          <w:p w14:paraId="421750AE" w14:textId="77777777" w:rsidR="00C66DF0" w:rsidRPr="0033055B" w:rsidRDefault="00C66DF0" w:rsidP="00A72E72">
            <w:pPr>
              <w:pStyle w:val="NormalWeb"/>
              <w:snapToGrid w:val="0"/>
              <w:spacing w:before="0" w:after="0"/>
              <w:jc w:val="center"/>
              <w:rPr>
                <w:rStyle w:val="italic1"/>
                <w:rFonts w:asciiTheme="minorHAnsi" w:hAnsiTheme="minorHAnsi" w:cstheme="minorHAnsi"/>
                <w:bCs/>
                <w:i w:val="0"/>
                <w:sz w:val="22"/>
                <w:szCs w:val="22"/>
              </w:rPr>
            </w:pPr>
            <w:r>
              <w:rPr>
                <w:rStyle w:val="italic1"/>
                <w:rFonts w:asciiTheme="minorHAnsi" w:hAnsiTheme="minorHAnsi"/>
                <w:bCs/>
                <w:i w:val="0"/>
                <w:sz w:val="22"/>
                <w:szCs w:val="22"/>
              </w:rPr>
              <w:t>17.7%</w:t>
            </w:r>
          </w:p>
        </w:tc>
      </w:tr>
      <w:tr w:rsidR="00C66DF0" w:rsidRPr="0033055B" w14:paraId="0E773737" w14:textId="77777777" w:rsidTr="007563F9">
        <w:trPr>
          <w:jc w:val="center"/>
        </w:trPr>
        <w:tc>
          <w:tcPr>
            <w:tcW w:w="6205" w:type="dxa"/>
          </w:tcPr>
          <w:p w14:paraId="0879E77A" w14:textId="367FA692" w:rsidR="00C66DF0" w:rsidRPr="0033055B" w:rsidRDefault="00340705" w:rsidP="00A72E72">
            <w:pPr>
              <w:pStyle w:val="NormalWeb"/>
              <w:snapToGrid w:val="0"/>
              <w:spacing w:before="0" w:after="0"/>
              <w:jc w:val="both"/>
              <w:rPr>
                <w:rStyle w:val="italic1"/>
                <w:rFonts w:asciiTheme="minorHAnsi" w:hAnsiTheme="minorHAnsi" w:cstheme="minorHAnsi"/>
                <w:b/>
                <w:bCs/>
                <w:i w:val="0"/>
                <w:sz w:val="22"/>
                <w:szCs w:val="22"/>
              </w:rPr>
            </w:pPr>
            <w:r>
              <w:rPr>
                <w:rStyle w:val="italic1"/>
                <w:rFonts w:asciiTheme="minorHAnsi" w:hAnsiTheme="minorHAnsi"/>
                <w:b/>
                <w:bCs/>
                <w:i w:val="0"/>
                <w:sz w:val="22"/>
                <w:szCs w:val="22"/>
              </w:rPr>
              <w:t>(B) Pjesëmarrja</w:t>
            </w:r>
            <w:r w:rsidR="00C66DF0">
              <w:rPr>
                <w:rStyle w:val="italic1"/>
                <w:rFonts w:asciiTheme="minorHAnsi" w:hAnsiTheme="minorHAnsi"/>
                <w:b/>
                <w:bCs/>
                <w:i w:val="0"/>
                <w:sz w:val="22"/>
                <w:szCs w:val="22"/>
              </w:rPr>
              <w:t xml:space="preserve"> e energjisë nga burimet e ripërtrishme në konsumin final bruto të energjisë më 2020 (S</w:t>
            </w:r>
            <w:r w:rsidR="00C66DF0">
              <w:rPr>
                <w:rStyle w:val="italic1"/>
                <w:rFonts w:asciiTheme="minorHAnsi" w:hAnsiTheme="minorHAnsi"/>
                <w:b/>
                <w:bCs/>
                <w:i w:val="0"/>
                <w:sz w:val="22"/>
                <w:szCs w:val="22"/>
                <w:vertAlign w:val="subscript"/>
              </w:rPr>
              <w:t>2020</w:t>
            </w:r>
            <w:r w:rsidR="00C66DF0">
              <w:rPr>
                <w:rStyle w:val="italic1"/>
                <w:rFonts w:asciiTheme="minorHAnsi" w:hAnsiTheme="minorHAnsi"/>
                <w:b/>
                <w:bCs/>
                <w:i w:val="0"/>
                <w:sz w:val="22"/>
                <w:szCs w:val="22"/>
              </w:rPr>
              <w:t>):</w:t>
            </w:r>
          </w:p>
        </w:tc>
        <w:tc>
          <w:tcPr>
            <w:tcW w:w="2362" w:type="dxa"/>
            <w:vAlign w:val="center"/>
          </w:tcPr>
          <w:p w14:paraId="47B1E3A6" w14:textId="77777777" w:rsidR="00C66DF0" w:rsidRPr="0033055B" w:rsidRDefault="00C66DF0" w:rsidP="00A72E72">
            <w:pPr>
              <w:pStyle w:val="NormalWeb"/>
              <w:snapToGrid w:val="0"/>
              <w:spacing w:before="0" w:after="0"/>
              <w:jc w:val="center"/>
              <w:rPr>
                <w:rStyle w:val="italic1"/>
                <w:rFonts w:asciiTheme="minorHAnsi" w:hAnsiTheme="minorHAnsi" w:cstheme="minorHAnsi"/>
                <w:bCs/>
                <w:i w:val="0"/>
                <w:sz w:val="22"/>
                <w:szCs w:val="22"/>
              </w:rPr>
            </w:pPr>
            <w:r>
              <w:rPr>
                <w:rStyle w:val="italic1"/>
                <w:rFonts w:asciiTheme="minorHAnsi" w:hAnsiTheme="minorHAnsi"/>
                <w:bCs/>
                <w:i w:val="0"/>
                <w:sz w:val="22"/>
                <w:szCs w:val="22"/>
              </w:rPr>
              <w:t>25%</w:t>
            </w:r>
          </w:p>
        </w:tc>
      </w:tr>
      <w:tr w:rsidR="00C66DF0" w:rsidRPr="0033055B" w14:paraId="058A79C0" w14:textId="77777777" w:rsidTr="007563F9">
        <w:trPr>
          <w:jc w:val="center"/>
        </w:trPr>
        <w:tc>
          <w:tcPr>
            <w:tcW w:w="6205" w:type="dxa"/>
          </w:tcPr>
          <w:p w14:paraId="0E8DFFA4" w14:textId="444EA149" w:rsidR="00C66DF0" w:rsidRPr="0033055B" w:rsidRDefault="00C66DF0" w:rsidP="00A72E72">
            <w:pPr>
              <w:pStyle w:val="NormalWeb"/>
              <w:snapToGrid w:val="0"/>
              <w:spacing w:before="0" w:after="0"/>
              <w:jc w:val="both"/>
              <w:rPr>
                <w:rFonts w:asciiTheme="minorHAnsi" w:hAnsiTheme="minorHAnsi" w:cstheme="minorHAnsi"/>
                <w:b/>
                <w:sz w:val="22"/>
                <w:szCs w:val="22"/>
              </w:rPr>
            </w:pPr>
            <w:r>
              <w:rPr>
                <w:rStyle w:val="italic1"/>
                <w:rFonts w:asciiTheme="minorHAnsi" w:hAnsiTheme="minorHAnsi"/>
                <w:b/>
                <w:bCs/>
                <w:i w:val="0"/>
                <w:sz w:val="22"/>
                <w:szCs w:val="22"/>
              </w:rPr>
              <w:t>(C)</w:t>
            </w:r>
            <w:r w:rsidR="00340705">
              <w:rPr>
                <w:rStyle w:val="italic1"/>
                <w:rFonts w:asciiTheme="minorHAnsi" w:hAnsiTheme="minorHAnsi"/>
                <w:b/>
                <w:bCs/>
                <w:i w:val="0"/>
                <w:sz w:val="22"/>
                <w:szCs w:val="22"/>
              </w:rPr>
              <w:t>Totali i</w:t>
            </w:r>
            <w:r>
              <w:rPr>
                <w:rStyle w:val="italic1"/>
                <w:rFonts w:asciiTheme="minorHAnsi" w:hAnsiTheme="minorHAnsi"/>
                <w:b/>
                <w:bCs/>
                <w:i w:val="0"/>
                <w:sz w:val="22"/>
                <w:szCs w:val="22"/>
              </w:rPr>
              <w:t xml:space="preserve"> Konsumi</w:t>
            </w:r>
            <w:r w:rsidR="00340705">
              <w:rPr>
                <w:rStyle w:val="italic1"/>
                <w:rFonts w:asciiTheme="minorHAnsi" w:hAnsiTheme="minorHAnsi"/>
                <w:b/>
                <w:bCs/>
                <w:i w:val="0"/>
                <w:sz w:val="22"/>
                <w:szCs w:val="22"/>
              </w:rPr>
              <w:t xml:space="preserve">t final te parashikuar te energjisë </w:t>
            </w:r>
            <w:r>
              <w:rPr>
                <w:rStyle w:val="italic1"/>
                <w:rFonts w:asciiTheme="minorHAnsi" w:hAnsiTheme="minorHAnsi"/>
                <w:b/>
                <w:bCs/>
                <w:i w:val="0"/>
                <w:sz w:val="22"/>
                <w:szCs w:val="22"/>
              </w:rPr>
              <w:t xml:space="preserve"> më 2020 </w:t>
            </w:r>
          </w:p>
        </w:tc>
        <w:tc>
          <w:tcPr>
            <w:tcW w:w="2362" w:type="dxa"/>
            <w:vAlign w:val="center"/>
          </w:tcPr>
          <w:p w14:paraId="7894F511" w14:textId="77777777" w:rsidR="00C66DF0" w:rsidRPr="0033055B" w:rsidRDefault="00C66DF0" w:rsidP="00A72E72">
            <w:pPr>
              <w:pStyle w:val="NormalWeb"/>
              <w:snapToGrid w:val="0"/>
              <w:spacing w:before="0" w:after="0"/>
              <w:jc w:val="center"/>
              <w:rPr>
                <w:rStyle w:val="italic1"/>
                <w:rFonts w:asciiTheme="minorHAnsi" w:hAnsiTheme="minorHAnsi" w:cstheme="minorHAnsi"/>
                <w:bCs/>
                <w:i w:val="0"/>
                <w:sz w:val="22"/>
                <w:szCs w:val="22"/>
              </w:rPr>
            </w:pPr>
            <w:r>
              <w:rPr>
                <w:rFonts w:asciiTheme="minorHAnsi" w:hAnsiTheme="minorHAnsi"/>
                <w:sz w:val="22"/>
                <w:szCs w:val="22"/>
              </w:rPr>
              <w:t>1,735.9 ktoe</w:t>
            </w:r>
          </w:p>
        </w:tc>
      </w:tr>
      <w:tr w:rsidR="00C66DF0" w:rsidRPr="0033055B" w14:paraId="51751B43" w14:textId="77777777" w:rsidTr="007563F9">
        <w:trPr>
          <w:jc w:val="center"/>
        </w:trPr>
        <w:tc>
          <w:tcPr>
            <w:tcW w:w="6205" w:type="dxa"/>
          </w:tcPr>
          <w:p w14:paraId="2C6D75DF" w14:textId="185B504B" w:rsidR="00C66DF0" w:rsidRPr="0033055B" w:rsidRDefault="00340705" w:rsidP="00A72E72">
            <w:pPr>
              <w:pStyle w:val="NormalWeb"/>
              <w:snapToGrid w:val="0"/>
              <w:spacing w:before="0" w:after="0"/>
              <w:jc w:val="both"/>
              <w:rPr>
                <w:rFonts w:asciiTheme="minorHAnsi" w:hAnsiTheme="minorHAnsi" w:cstheme="minorHAnsi"/>
                <w:b/>
                <w:sz w:val="22"/>
                <w:szCs w:val="22"/>
              </w:rPr>
            </w:pPr>
            <w:r>
              <w:rPr>
                <w:rStyle w:val="italic1"/>
                <w:rFonts w:asciiTheme="minorHAnsi" w:hAnsiTheme="minorHAnsi"/>
                <w:b/>
                <w:bCs/>
                <w:i w:val="0"/>
                <w:sz w:val="22"/>
                <w:szCs w:val="22"/>
              </w:rPr>
              <w:t xml:space="preserve">(D) Shuma e parashikuar e energjisë </w:t>
            </w:r>
            <w:r w:rsidR="00C66DF0">
              <w:rPr>
                <w:rStyle w:val="italic1"/>
                <w:rFonts w:asciiTheme="minorHAnsi" w:hAnsiTheme="minorHAnsi"/>
                <w:b/>
                <w:bCs/>
                <w:i w:val="0"/>
                <w:sz w:val="22"/>
                <w:szCs w:val="22"/>
              </w:rPr>
              <w:t xml:space="preserve"> nga burime të ripërtrishme që </w:t>
            </w:r>
            <w:r>
              <w:rPr>
                <w:rStyle w:val="italic1"/>
                <w:rFonts w:asciiTheme="minorHAnsi" w:hAnsiTheme="minorHAnsi"/>
                <w:b/>
                <w:bCs/>
                <w:i w:val="0"/>
                <w:sz w:val="22"/>
                <w:szCs w:val="22"/>
              </w:rPr>
              <w:t>korrespondon me cakun e</w:t>
            </w:r>
            <w:r w:rsidR="00C66DF0">
              <w:rPr>
                <w:rStyle w:val="italic1"/>
                <w:rFonts w:asciiTheme="minorHAnsi" w:hAnsiTheme="minorHAnsi"/>
                <w:b/>
                <w:bCs/>
                <w:i w:val="0"/>
                <w:sz w:val="22"/>
                <w:szCs w:val="22"/>
              </w:rPr>
              <w:t xml:space="preserve"> vitit 2020  </w:t>
            </w:r>
          </w:p>
        </w:tc>
        <w:tc>
          <w:tcPr>
            <w:tcW w:w="2362" w:type="dxa"/>
            <w:vAlign w:val="center"/>
          </w:tcPr>
          <w:p w14:paraId="7E4FAB8C" w14:textId="77777777" w:rsidR="00C66DF0" w:rsidRPr="0033055B" w:rsidRDefault="00C66DF0" w:rsidP="00A72E72">
            <w:pPr>
              <w:pStyle w:val="NormalWeb"/>
              <w:snapToGrid w:val="0"/>
              <w:spacing w:before="0" w:after="0"/>
              <w:jc w:val="center"/>
              <w:rPr>
                <w:rFonts w:asciiTheme="minorHAnsi" w:hAnsiTheme="minorHAnsi" w:cstheme="minorHAnsi"/>
                <w:sz w:val="22"/>
                <w:szCs w:val="22"/>
              </w:rPr>
            </w:pPr>
            <w:r>
              <w:rPr>
                <w:rFonts w:asciiTheme="minorHAnsi" w:hAnsiTheme="minorHAnsi"/>
                <w:sz w:val="22"/>
                <w:szCs w:val="22"/>
              </w:rPr>
              <w:t>434.6 ktoe</w:t>
            </w:r>
          </w:p>
        </w:tc>
      </w:tr>
    </w:tbl>
    <w:p w14:paraId="14A3A77E" w14:textId="77777777" w:rsidR="00995F89" w:rsidRPr="0033055B" w:rsidRDefault="00995F89" w:rsidP="005E4A0E">
      <w:pPr>
        <w:spacing w:before="120" w:after="120" w:line="240" w:lineRule="auto"/>
        <w:jc w:val="both"/>
        <w:rPr>
          <w:rFonts w:cstheme="minorHAnsi"/>
          <w:lang w:val="en-GB"/>
        </w:rPr>
      </w:pPr>
    </w:p>
    <w:p w14:paraId="655D518E" w14:textId="454732D8" w:rsidR="00FF05FE" w:rsidRPr="0033055B" w:rsidRDefault="00FF05FE" w:rsidP="004F04AC">
      <w:pPr>
        <w:spacing w:before="120" w:after="120" w:line="240" w:lineRule="auto"/>
        <w:jc w:val="both"/>
      </w:pPr>
      <w:r>
        <w:t>Pasi që Kosova planifikon të arrijë cakun e saj shtetëror obligativ përmes masave shtetërore për prodhimin e energjisë nga burimet e ripërtërishme, ekziston mundësia ose të barten sasitë e tepërta mbi trajektoren indikative ose të bartet sasia e nevojshme për të arritur cakun me anë të mekanizmave fleksibilë të bashkëpunimit, përmes kapaciteteve të tepërta nga palët tjera kontraktuese. Megjithatë, për momentin, kjo nuk planifikohet nga qeveria, pasi që preferenca është arritja e BRE-ve me resurse të brendshme. Në anën tjetër, nëse raporti i rregullt mbi implementimin e këtij PSHVER-je si dhe përparimi në arritjen e caqeve tregojnë që Kosova nuk arrin të përmbushë caqet obligative vetëm me prodhimin vendor, do të merren hapa adekuatë për të hulumtuar mundësitë e përdorimit të mekanizmave të tillë të bashkëpunimit (për shembull me Shqipërinë apo Malin e Zi).</w:t>
      </w:r>
    </w:p>
    <w:p w14:paraId="480EAB0C" w14:textId="77777777" w:rsidR="00255169" w:rsidRPr="0033055B" w:rsidRDefault="00255169" w:rsidP="005E4A0E">
      <w:pPr>
        <w:spacing w:before="120" w:after="120" w:line="240" w:lineRule="auto"/>
        <w:jc w:val="both"/>
        <w:rPr>
          <w:rFonts w:cstheme="minorHAnsi"/>
          <w:lang w:val="en-GB"/>
        </w:rPr>
      </w:pPr>
    </w:p>
    <w:p w14:paraId="75C4CBDD" w14:textId="17BF27C7" w:rsidR="00995F89" w:rsidRPr="0033055B" w:rsidRDefault="00995F89" w:rsidP="00B973C7">
      <w:pPr>
        <w:pStyle w:val="Heading2"/>
      </w:pPr>
      <w:bookmarkStart w:id="18" w:name="_Toc518377681"/>
      <w:r>
        <w:t>3.2. Caqet dhe trajektoret sektoriale</w:t>
      </w:r>
      <w:bookmarkEnd w:id="18"/>
    </w:p>
    <w:p w14:paraId="19CDDBB1" w14:textId="57766E72" w:rsidR="000E55F3" w:rsidRPr="0033055B" w:rsidRDefault="000E55F3" w:rsidP="000E55F3">
      <w:pPr>
        <w:spacing w:before="120" w:after="120" w:line="240" w:lineRule="auto"/>
        <w:jc w:val="both"/>
        <w:rPr>
          <w:rFonts w:cstheme="minorHAnsi"/>
        </w:rPr>
      </w:pPr>
      <w:r>
        <w:t>Caqet për tre sektorët (energjia elektrike, transporti dhe sektori i ngrohjes dhe ftohjes), të cilët do të kontribuojnë në përmbushjen e cakut të përgjithshëm janë kalkuluar (me modelin SHARES dhe të dhënat e Eurostat-it) si vijon:</w:t>
      </w:r>
    </w:p>
    <w:p w14:paraId="0971D944" w14:textId="77777777" w:rsidR="000E55F3" w:rsidRPr="0033055B" w:rsidRDefault="00271F16" w:rsidP="00AB4A2D">
      <w:pPr>
        <w:pStyle w:val="ListParagraph"/>
        <w:numPr>
          <w:ilvl w:val="0"/>
          <w:numId w:val="6"/>
        </w:numPr>
        <w:spacing w:before="120"/>
        <w:rPr>
          <w:rFonts w:ascii="Calibri" w:hAnsi="Calibri" w:cs="Calibri"/>
        </w:rPr>
      </w:pPr>
      <w:r>
        <w:rPr>
          <w:rFonts w:ascii="Calibri" w:hAnsi="Calibri"/>
        </w:rPr>
        <w:t>14.6% BRE në konsumin final bruto të energjisë elektrike</w:t>
      </w:r>
    </w:p>
    <w:p w14:paraId="6FA8AF83" w14:textId="77777777" w:rsidR="000E55F3" w:rsidRPr="0033055B" w:rsidRDefault="000E55F3" w:rsidP="00AB4A2D">
      <w:pPr>
        <w:pStyle w:val="ListParagraph"/>
        <w:numPr>
          <w:ilvl w:val="0"/>
          <w:numId w:val="6"/>
        </w:numPr>
        <w:spacing w:before="120"/>
        <w:rPr>
          <w:rFonts w:ascii="Calibri" w:hAnsi="Calibri" w:cs="Calibri"/>
        </w:rPr>
      </w:pPr>
      <w:r>
        <w:rPr>
          <w:rFonts w:ascii="Calibri" w:hAnsi="Calibri"/>
        </w:rPr>
        <w:t>10% BRE në konsumin final të energjisë në transport</w:t>
      </w:r>
    </w:p>
    <w:p w14:paraId="35621C11" w14:textId="77777777" w:rsidR="00995F89" w:rsidRPr="0033055B" w:rsidRDefault="000E55F3" w:rsidP="00AB4A2D">
      <w:pPr>
        <w:pStyle w:val="ListParagraph"/>
        <w:numPr>
          <w:ilvl w:val="0"/>
          <w:numId w:val="6"/>
        </w:numPr>
        <w:spacing w:before="120"/>
        <w:rPr>
          <w:rFonts w:ascii="Calibri" w:hAnsi="Calibri" w:cs="Calibri"/>
        </w:rPr>
      </w:pPr>
      <w:r>
        <w:rPr>
          <w:rFonts w:ascii="Calibri" w:hAnsi="Calibri"/>
        </w:rPr>
        <w:t>44.4% BRE në konsumin final bruto për ngrohje dhe ftohje</w:t>
      </w:r>
    </w:p>
    <w:p w14:paraId="0FDB8C2C" w14:textId="77777777" w:rsidR="000E55F3" w:rsidRPr="0033055B" w:rsidRDefault="000E55F3" w:rsidP="000E55F3">
      <w:pPr>
        <w:spacing w:before="120" w:after="120" w:line="240" w:lineRule="auto"/>
        <w:jc w:val="both"/>
        <w:rPr>
          <w:rFonts w:cstheme="minorHAnsi"/>
          <w:lang w:val="en-GB"/>
        </w:rPr>
      </w:pPr>
    </w:p>
    <w:p w14:paraId="0B6DF8E3" w14:textId="77777777" w:rsidR="006F2870" w:rsidRDefault="006F2870">
      <w:pPr>
        <w:rPr>
          <w:rFonts w:cstheme="minorHAnsi"/>
        </w:rPr>
      </w:pPr>
      <w:r>
        <w:br w:type="page"/>
      </w:r>
    </w:p>
    <w:p w14:paraId="4EB4F677" w14:textId="387213CA" w:rsidR="00FE5716" w:rsidRDefault="003767C6" w:rsidP="000E55F3">
      <w:pPr>
        <w:spacing w:before="120" w:after="120" w:line="240" w:lineRule="auto"/>
        <w:jc w:val="both"/>
        <w:rPr>
          <w:rFonts w:cstheme="minorHAnsi"/>
        </w:rPr>
      </w:pPr>
      <w:r>
        <w:t xml:space="preserve">Në sektorin e energjisë elektrike, rritjet e gjenerimit të BRE-ve bazohen në zhvillimin e: </w:t>
      </w:r>
    </w:p>
    <w:p w14:paraId="74328E14" w14:textId="7577ED6B" w:rsidR="00FE5716" w:rsidRPr="00B973C7" w:rsidRDefault="00FE5716" w:rsidP="00B973C7">
      <w:pPr>
        <w:pStyle w:val="ListParagraph"/>
        <w:numPr>
          <w:ilvl w:val="0"/>
          <w:numId w:val="25"/>
        </w:numPr>
        <w:spacing w:before="120"/>
        <w:rPr>
          <w:rFonts w:cstheme="minorHAnsi"/>
        </w:rPr>
      </w:pPr>
      <w:r>
        <w:rPr>
          <w:rFonts w:asciiTheme="minorHAnsi" w:hAnsiTheme="minorHAnsi"/>
        </w:rPr>
        <w:t>Hidrocentraleve të vogla dhe të mesme (124.1 MW)</w:t>
      </w:r>
    </w:p>
    <w:p w14:paraId="78B7C4C8" w14:textId="37EE05C5" w:rsidR="00FE5716" w:rsidRPr="00E565CD" w:rsidRDefault="00340705" w:rsidP="00B973C7">
      <w:pPr>
        <w:pStyle w:val="ListParagraph"/>
        <w:numPr>
          <w:ilvl w:val="0"/>
          <w:numId w:val="25"/>
        </w:numPr>
        <w:spacing w:before="120"/>
        <w:rPr>
          <w:rFonts w:cstheme="minorHAnsi"/>
        </w:rPr>
      </w:pPr>
      <w:r>
        <w:rPr>
          <w:rFonts w:asciiTheme="minorHAnsi" w:hAnsiTheme="minorHAnsi"/>
        </w:rPr>
        <w:t>Turbinat e</w:t>
      </w:r>
      <w:r w:rsidR="00FE5716">
        <w:rPr>
          <w:rFonts w:asciiTheme="minorHAnsi" w:hAnsiTheme="minorHAnsi"/>
        </w:rPr>
        <w:t xml:space="preserve"> erës (173.8 MW) si dhe </w:t>
      </w:r>
    </w:p>
    <w:p w14:paraId="749D3F36" w14:textId="1F7356E2" w:rsidR="003767C6" w:rsidRPr="00B973C7" w:rsidRDefault="00340705" w:rsidP="00B973C7">
      <w:pPr>
        <w:pStyle w:val="ListParagraph"/>
        <w:numPr>
          <w:ilvl w:val="0"/>
          <w:numId w:val="25"/>
        </w:numPr>
        <w:spacing w:before="120"/>
        <w:rPr>
          <w:rFonts w:cstheme="minorHAnsi"/>
        </w:rPr>
      </w:pPr>
      <w:r>
        <w:rPr>
          <w:rFonts w:asciiTheme="minorHAnsi" w:hAnsiTheme="minorHAnsi"/>
        </w:rPr>
        <w:t xml:space="preserve">Panelet </w:t>
      </w:r>
      <w:r w:rsidR="00FE5716">
        <w:rPr>
          <w:rFonts w:asciiTheme="minorHAnsi" w:hAnsiTheme="minorHAnsi"/>
        </w:rPr>
        <w:t>fotovoltaike (30 MW).</w:t>
      </w:r>
    </w:p>
    <w:p w14:paraId="090FD743" w14:textId="77777777" w:rsidR="00FE5716" w:rsidRPr="0033055B" w:rsidRDefault="00FE5716" w:rsidP="000E55F3">
      <w:pPr>
        <w:spacing w:before="120" w:after="120" w:line="240" w:lineRule="auto"/>
        <w:jc w:val="both"/>
        <w:rPr>
          <w:rFonts w:cstheme="minorHAnsi"/>
          <w:lang w:val="en-GB"/>
        </w:rPr>
      </w:pPr>
    </w:p>
    <w:p w14:paraId="4F8EE28B" w14:textId="59B2A011" w:rsidR="003767C6" w:rsidRDefault="003767C6" w:rsidP="003767C6">
      <w:pPr>
        <w:spacing w:before="120" w:after="120" w:line="240" w:lineRule="auto"/>
        <w:jc w:val="both"/>
        <w:rPr>
          <w:rFonts w:cstheme="minorHAnsi"/>
        </w:rPr>
      </w:pPr>
      <w:r>
        <w:t>Për promovimin e BRE-ve në ngrohje dhe ftohje, parashihet ndërtimi i ngrohtores në Gjakovë (që vlerësohet të arrijë prodhim vjetor prej 45,346 MWh</w:t>
      </w:r>
      <w:r>
        <w:rPr>
          <w:vertAlign w:val="subscript"/>
        </w:rPr>
        <w:t>th</w:t>
      </w:r>
      <w:r>
        <w:t xml:space="preserve"> ngrohje  dhe 6,232 MWh</w:t>
      </w:r>
      <w:r>
        <w:rPr>
          <w:vertAlign w:val="subscript"/>
        </w:rPr>
        <w:t xml:space="preserve">e </w:t>
      </w:r>
      <w:r>
        <w:t>energji elektrike), promovimi i pompave të ngrohjes gjeotermike (10 MW</w:t>
      </w:r>
      <w:r>
        <w:rPr>
          <w:vertAlign w:val="subscript"/>
        </w:rPr>
        <w:t>th</w:t>
      </w:r>
      <w:r>
        <w:t>), instalimi i kolektorëve solarë për ujë të ngrohtë në shtëpi (100,000 m</w:t>
      </w:r>
      <w:r>
        <w:rPr>
          <w:vertAlign w:val="superscript"/>
        </w:rPr>
        <w:t>2</w:t>
      </w:r>
      <w:r>
        <w:t>) si dhe promovimi i bojlerëve dhe stufave të</w:t>
      </w:r>
      <w:r w:rsidRPr="00DE55E2">
        <w:t xml:space="preserve"> efikasitetit </w:t>
      </w:r>
      <w:r>
        <w:t xml:space="preserve">të </w:t>
      </w:r>
      <w:r w:rsidRPr="00DE55E2">
        <w:t>lartë</w:t>
      </w:r>
      <w:r>
        <w:t xml:space="preserve"> me biomasë në sektorin amvisnor dhe shërbyes (25% zëvendësim të energjisë së konsumuar nga lëndët e ngurta dhe ato të naftës më 2015).</w:t>
      </w:r>
    </w:p>
    <w:p w14:paraId="4F203B26" w14:textId="67274C5B" w:rsidR="00FE5716" w:rsidRDefault="00FE5716" w:rsidP="003767C6">
      <w:pPr>
        <w:spacing w:before="120" w:after="120" w:line="240" w:lineRule="auto"/>
        <w:jc w:val="both"/>
        <w:rPr>
          <w:rFonts w:cstheme="minorHAnsi"/>
        </w:rPr>
      </w:pPr>
      <w:r>
        <w:t xml:space="preserve">Për përdorimin e BRE-ve në sektorin e </w:t>
      </w:r>
      <w:r w:rsidR="00340705">
        <w:rPr>
          <w:color w:val="C00000"/>
        </w:rPr>
        <w:t>transportit</w:t>
      </w:r>
      <w:r>
        <w:t xml:space="preserve">, legjislacioni planifikohet për të arritur 10% deri në fund të vitit 2020. </w:t>
      </w:r>
    </w:p>
    <w:p w14:paraId="130019B8" w14:textId="77777777" w:rsidR="00401222" w:rsidRDefault="00401222" w:rsidP="000E55F3">
      <w:pPr>
        <w:spacing w:before="120" w:after="120" w:line="240" w:lineRule="auto"/>
        <w:jc w:val="both"/>
        <w:rPr>
          <w:rFonts w:cstheme="minorHAnsi"/>
          <w:lang w:val="en-GB"/>
        </w:rPr>
      </w:pPr>
    </w:p>
    <w:p w14:paraId="3795C5F0" w14:textId="23E772A8" w:rsidR="003767C6" w:rsidRPr="0033055B" w:rsidRDefault="003767C6" w:rsidP="000E55F3">
      <w:pPr>
        <w:spacing w:before="120" w:after="120" w:line="240" w:lineRule="auto"/>
        <w:jc w:val="both"/>
        <w:rPr>
          <w:rFonts w:cstheme="minorHAnsi"/>
        </w:rPr>
      </w:pPr>
      <w:r>
        <w:t>Tabela 6 paraqet cakun shtetëror për 2020 si dhe trajektoren e projektuar të energjisë nga BRE-të në ngrohje e ftohje, energji elektrike dhe transport. Tabelat 7 dhe 8 përfshijnë të gjitha të dhënat e nevojshme për kalkulimin e nën-caqeve të BRE-ve.</w:t>
      </w:r>
    </w:p>
    <w:p w14:paraId="07D7610E" w14:textId="31604B74" w:rsidR="00F91663" w:rsidRPr="0033055B" w:rsidRDefault="000E55F3" w:rsidP="00455E08">
      <w:pPr>
        <w:spacing w:before="120" w:after="120" w:line="240" w:lineRule="auto"/>
        <w:jc w:val="center"/>
        <w:rPr>
          <w:rFonts w:eastAsia="Times New Roman" w:cstheme="minorHAnsi"/>
          <w:b/>
          <w:bCs/>
          <w:iCs/>
        </w:rPr>
      </w:pPr>
      <w:bookmarkStart w:id="19" w:name="_Toc518377698"/>
      <w:r>
        <w:rPr>
          <w:rFonts w:ascii="Calibri" w:hAnsi="Calibri"/>
          <w:b/>
          <w:iCs/>
        </w:rPr>
        <w:t xml:space="preserve">Tabela </w:t>
      </w:r>
      <w:r w:rsidR="00724C64" w:rsidRPr="0033055B">
        <w:rPr>
          <w:rFonts w:ascii="Calibri" w:eastAsia="Calibri" w:hAnsi="Calibri"/>
          <w:b/>
          <w:iCs/>
        </w:rPr>
        <w:fldChar w:fldCharType="begin"/>
      </w:r>
      <w:r w:rsidRPr="0033055B">
        <w:rPr>
          <w:rFonts w:ascii="Calibri" w:eastAsia="Calibri" w:hAnsi="Calibri"/>
          <w:b/>
          <w:iCs/>
        </w:rPr>
        <w:instrText xml:space="preserve"> SEQ Table \* ARABIC </w:instrText>
      </w:r>
      <w:r w:rsidR="00724C64" w:rsidRPr="0033055B">
        <w:rPr>
          <w:rFonts w:ascii="Calibri" w:eastAsia="Calibri" w:hAnsi="Calibri"/>
          <w:b/>
          <w:iCs/>
        </w:rPr>
        <w:fldChar w:fldCharType="separate"/>
      </w:r>
      <w:r w:rsidR="00DC4741">
        <w:rPr>
          <w:rFonts w:ascii="Calibri" w:eastAsia="Calibri" w:hAnsi="Calibri"/>
          <w:b/>
          <w:iCs/>
          <w:noProof/>
        </w:rPr>
        <w:t>6</w:t>
      </w:r>
      <w:r w:rsidR="00724C64" w:rsidRPr="0033055B">
        <w:rPr>
          <w:rFonts w:ascii="Calibri" w:eastAsia="Calibri" w:hAnsi="Calibri"/>
          <w:b/>
          <w:iCs/>
        </w:rPr>
        <w:fldChar w:fldCharType="end"/>
      </w:r>
      <w:r>
        <w:rPr>
          <w:b/>
        </w:rPr>
        <w:t xml:space="preserve">: </w:t>
      </w:r>
      <w:r>
        <w:rPr>
          <w:b/>
          <w:bCs/>
          <w:iCs/>
        </w:rPr>
        <w:t>Caku shtetëror për 2020 si dhe trajektorja e projektuar e energjisë nga burimet e ripërtërishme në ngrohje e ftohje, energji elektrike dhe transport.</w:t>
      </w:r>
      <w:bookmarkEnd w:id="19"/>
    </w:p>
    <w:tbl>
      <w:tblPr>
        <w:tblStyle w:val="TableGrid"/>
        <w:tblW w:w="10546" w:type="dxa"/>
        <w:jc w:val="center"/>
        <w:tblLayout w:type="fixed"/>
        <w:tblLook w:val="04A0" w:firstRow="1" w:lastRow="0" w:firstColumn="1" w:lastColumn="0" w:noHBand="0" w:noVBand="1"/>
      </w:tblPr>
      <w:tblGrid>
        <w:gridCol w:w="1354"/>
        <w:gridCol w:w="766"/>
        <w:gridCol w:w="766"/>
        <w:gridCol w:w="766"/>
        <w:gridCol w:w="766"/>
        <w:gridCol w:w="766"/>
        <w:gridCol w:w="766"/>
        <w:gridCol w:w="766"/>
        <w:gridCol w:w="766"/>
        <w:gridCol w:w="766"/>
        <w:gridCol w:w="766"/>
        <w:gridCol w:w="766"/>
        <w:gridCol w:w="766"/>
      </w:tblGrid>
      <w:tr w:rsidR="00CD75D9" w:rsidRPr="0033055B" w14:paraId="2713303C" w14:textId="77777777" w:rsidTr="007563F9">
        <w:trPr>
          <w:trHeight w:val="217"/>
          <w:jc w:val="center"/>
        </w:trPr>
        <w:tc>
          <w:tcPr>
            <w:tcW w:w="1354" w:type="dxa"/>
            <w:shd w:val="clear" w:color="auto" w:fill="D9D9D9" w:themeFill="background1" w:themeFillShade="D9"/>
          </w:tcPr>
          <w:p w14:paraId="6CB319E5" w14:textId="77777777" w:rsidR="00CD75D9" w:rsidRPr="0033055B" w:rsidRDefault="00CD75D9" w:rsidP="00771301">
            <w:pPr>
              <w:jc w:val="both"/>
              <w:rPr>
                <w:rFonts w:cstheme="minorHAnsi"/>
                <w:b/>
                <w:lang w:val="en-GB"/>
              </w:rPr>
            </w:pPr>
          </w:p>
        </w:tc>
        <w:tc>
          <w:tcPr>
            <w:tcW w:w="766" w:type="dxa"/>
            <w:shd w:val="clear" w:color="auto" w:fill="D9D9D9" w:themeFill="background1" w:themeFillShade="D9"/>
          </w:tcPr>
          <w:p w14:paraId="2DF54ECB" w14:textId="77777777" w:rsidR="00CD75D9" w:rsidRPr="0033055B" w:rsidRDefault="00CD75D9" w:rsidP="00771301">
            <w:pPr>
              <w:jc w:val="both"/>
              <w:rPr>
                <w:rFonts w:cstheme="minorHAnsi"/>
                <w:b/>
              </w:rPr>
            </w:pPr>
            <w:r>
              <w:rPr>
                <w:b/>
              </w:rPr>
              <w:t>2009</w:t>
            </w:r>
          </w:p>
        </w:tc>
        <w:tc>
          <w:tcPr>
            <w:tcW w:w="766" w:type="dxa"/>
            <w:shd w:val="clear" w:color="auto" w:fill="D9D9D9" w:themeFill="background1" w:themeFillShade="D9"/>
          </w:tcPr>
          <w:p w14:paraId="36DC8B1A" w14:textId="77777777" w:rsidR="00CD75D9" w:rsidRPr="0033055B" w:rsidRDefault="00CD75D9" w:rsidP="00771301">
            <w:pPr>
              <w:jc w:val="both"/>
              <w:rPr>
                <w:rFonts w:cstheme="minorHAnsi"/>
                <w:b/>
              </w:rPr>
            </w:pPr>
            <w:r>
              <w:rPr>
                <w:b/>
              </w:rPr>
              <w:t>2010</w:t>
            </w:r>
          </w:p>
        </w:tc>
        <w:tc>
          <w:tcPr>
            <w:tcW w:w="766" w:type="dxa"/>
            <w:shd w:val="clear" w:color="auto" w:fill="D9D9D9" w:themeFill="background1" w:themeFillShade="D9"/>
          </w:tcPr>
          <w:p w14:paraId="45D1379E" w14:textId="77777777" w:rsidR="00CD75D9" w:rsidRPr="0033055B" w:rsidRDefault="00CD75D9" w:rsidP="00771301">
            <w:pPr>
              <w:jc w:val="both"/>
              <w:rPr>
                <w:rFonts w:cstheme="minorHAnsi"/>
                <w:b/>
              </w:rPr>
            </w:pPr>
            <w:r>
              <w:rPr>
                <w:b/>
              </w:rPr>
              <w:t>2011</w:t>
            </w:r>
          </w:p>
        </w:tc>
        <w:tc>
          <w:tcPr>
            <w:tcW w:w="766" w:type="dxa"/>
            <w:shd w:val="clear" w:color="auto" w:fill="D9D9D9" w:themeFill="background1" w:themeFillShade="D9"/>
          </w:tcPr>
          <w:p w14:paraId="064F73B5" w14:textId="77777777" w:rsidR="00CD75D9" w:rsidRPr="0033055B" w:rsidRDefault="00CD75D9" w:rsidP="00771301">
            <w:pPr>
              <w:jc w:val="both"/>
              <w:rPr>
                <w:rFonts w:cstheme="minorHAnsi"/>
                <w:b/>
              </w:rPr>
            </w:pPr>
            <w:r>
              <w:rPr>
                <w:b/>
              </w:rPr>
              <w:t>2012</w:t>
            </w:r>
          </w:p>
        </w:tc>
        <w:tc>
          <w:tcPr>
            <w:tcW w:w="766" w:type="dxa"/>
            <w:shd w:val="clear" w:color="auto" w:fill="D9D9D9" w:themeFill="background1" w:themeFillShade="D9"/>
          </w:tcPr>
          <w:p w14:paraId="311688EC" w14:textId="77777777" w:rsidR="00CD75D9" w:rsidRPr="0033055B" w:rsidRDefault="00CD75D9" w:rsidP="00771301">
            <w:pPr>
              <w:jc w:val="both"/>
              <w:rPr>
                <w:rFonts w:cstheme="minorHAnsi"/>
                <w:b/>
              </w:rPr>
            </w:pPr>
            <w:r>
              <w:rPr>
                <w:b/>
              </w:rPr>
              <w:t>2013</w:t>
            </w:r>
          </w:p>
        </w:tc>
        <w:tc>
          <w:tcPr>
            <w:tcW w:w="766" w:type="dxa"/>
            <w:shd w:val="clear" w:color="auto" w:fill="D9D9D9" w:themeFill="background1" w:themeFillShade="D9"/>
          </w:tcPr>
          <w:p w14:paraId="488F98FB" w14:textId="77777777" w:rsidR="00CD75D9" w:rsidRPr="0033055B" w:rsidRDefault="00CD75D9" w:rsidP="00771301">
            <w:pPr>
              <w:jc w:val="both"/>
              <w:rPr>
                <w:rFonts w:cstheme="minorHAnsi"/>
                <w:b/>
              </w:rPr>
            </w:pPr>
            <w:r>
              <w:rPr>
                <w:b/>
              </w:rPr>
              <w:t>2014</w:t>
            </w:r>
          </w:p>
        </w:tc>
        <w:tc>
          <w:tcPr>
            <w:tcW w:w="766" w:type="dxa"/>
            <w:shd w:val="clear" w:color="auto" w:fill="D9D9D9" w:themeFill="background1" w:themeFillShade="D9"/>
          </w:tcPr>
          <w:p w14:paraId="47ECA774" w14:textId="77777777" w:rsidR="00CD75D9" w:rsidRPr="0033055B" w:rsidRDefault="00CD75D9" w:rsidP="00771301">
            <w:pPr>
              <w:jc w:val="both"/>
              <w:rPr>
                <w:rFonts w:cstheme="minorHAnsi"/>
                <w:b/>
              </w:rPr>
            </w:pPr>
            <w:r>
              <w:rPr>
                <w:b/>
              </w:rPr>
              <w:t>2015</w:t>
            </w:r>
          </w:p>
        </w:tc>
        <w:tc>
          <w:tcPr>
            <w:tcW w:w="766" w:type="dxa"/>
            <w:shd w:val="clear" w:color="auto" w:fill="D9D9D9" w:themeFill="background1" w:themeFillShade="D9"/>
          </w:tcPr>
          <w:p w14:paraId="5CE0F7E9" w14:textId="77777777" w:rsidR="00CD75D9" w:rsidRPr="0033055B" w:rsidRDefault="00CD75D9" w:rsidP="00771301">
            <w:pPr>
              <w:jc w:val="both"/>
              <w:rPr>
                <w:rFonts w:cstheme="minorHAnsi"/>
                <w:b/>
              </w:rPr>
            </w:pPr>
            <w:r>
              <w:rPr>
                <w:b/>
              </w:rPr>
              <w:t>2016</w:t>
            </w:r>
          </w:p>
        </w:tc>
        <w:tc>
          <w:tcPr>
            <w:tcW w:w="766" w:type="dxa"/>
            <w:shd w:val="clear" w:color="auto" w:fill="D9D9D9" w:themeFill="background1" w:themeFillShade="D9"/>
          </w:tcPr>
          <w:p w14:paraId="3D939FA1" w14:textId="77777777" w:rsidR="00CD75D9" w:rsidRPr="0033055B" w:rsidRDefault="00CD75D9" w:rsidP="00771301">
            <w:pPr>
              <w:jc w:val="both"/>
              <w:rPr>
                <w:rFonts w:cstheme="minorHAnsi"/>
                <w:b/>
              </w:rPr>
            </w:pPr>
            <w:r>
              <w:rPr>
                <w:b/>
              </w:rPr>
              <w:t>2017</w:t>
            </w:r>
          </w:p>
        </w:tc>
        <w:tc>
          <w:tcPr>
            <w:tcW w:w="766" w:type="dxa"/>
            <w:shd w:val="clear" w:color="auto" w:fill="D9D9D9" w:themeFill="background1" w:themeFillShade="D9"/>
          </w:tcPr>
          <w:p w14:paraId="635FB23C" w14:textId="77777777" w:rsidR="00CD75D9" w:rsidRPr="0033055B" w:rsidRDefault="00CD75D9" w:rsidP="00771301">
            <w:pPr>
              <w:jc w:val="both"/>
              <w:rPr>
                <w:rFonts w:cstheme="minorHAnsi"/>
                <w:b/>
              </w:rPr>
            </w:pPr>
            <w:r>
              <w:rPr>
                <w:b/>
              </w:rPr>
              <w:t>2018</w:t>
            </w:r>
          </w:p>
        </w:tc>
        <w:tc>
          <w:tcPr>
            <w:tcW w:w="766" w:type="dxa"/>
            <w:shd w:val="clear" w:color="auto" w:fill="D9D9D9" w:themeFill="background1" w:themeFillShade="D9"/>
          </w:tcPr>
          <w:p w14:paraId="6945A453" w14:textId="77777777" w:rsidR="00CD75D9" w:rsidRPr="0033055B" w:rsidRDefault="00CD75D9" w:rsidP="00771301">
            <w:pPr>
              <w:jc w:val="both"/>
              <w:rPr>
                <w:rFonts w:cstheme="minorHAnsi"/>
                <w:b/>
              </w:rPr>
            </w:pPr>
            <w:r>
              <w:rPr>
                <w:b/>
              </w:rPr>
              <w:t>2019</w:t>
            </w:r>
          </w:p>
        </w:tc>
        <w:tc>
          <w:tcPr>
            <w:tcW w:w="766" w:type="dxa"/>
            <w:shd w:val="clear" w:color="auto" w:fill="D9D9D9" w:themeFill="background1" w:themeFillShade="D9"/>
          </w:tcPr>
          <w:p w14:paraId="2FBE0003" w14:textId="77777777" w:rsidR="00CD75D9" w:rsidRPr="0033055B" w:rsidRDefault="00CD75D9" w:rsidP="00771301">
            <w:pPr>
              <w:jc w:val="both"/>
              <w:rPr>
                <w:rFonts w:cstheme="minorHAnsi"/>
                <w:b/>
              </w:rPr>
            </w:pPr>
            <w:r>
              <w:rPr>
                <w:b/>
              </w:rPr>
              <w:t>2020</w:t>
            </w:r>
          </w:p>
        </w:tc>
      </w:tr>
      <w:tr w:rsidR="00C66DF0" w:rsidRPr="0033055B" w14:paraId="2BDD8630" w14:textId="77777777" w:rsidTr="007563F9">
        <w:trPr>
          <w:trHeight w:val="204"/>
          <w:jc w:val="center"/>
        </w:trPr>
        <w:tc>
          <w:tcPr>
            <w:tcW w:w="1354" w:type="dxa"/>
          </w:tcPr>
          <w:p w14:paraId="262E29AB" w14:textId="77777777" w:rsidR="00C66DF0" w:rsidRPr="0033055B" w:rsidRDefault="00C66DF0" w:rsidP="00C66DF0">
            <w:r>
              <w:t>BRE-NeF</w:t>
            </w:r>
            <w:r w:rsidRPr="0033055B">
              <w:rPr>
                <w:rStyle w:val="FootnoteReference"/>
                <w:rFonts w:cstheme="minorHAnsi"/>
                <w:bCs/>
                <w:iCs/>
                <w:lang w:val="en-GB"/>
              </w:rPr>
              <w:footnoteReference w:id="10"/>
            </w:r>
            <w:r>
              <w:t xml:space="preserve"> </w:t>
            </w:r>
          </w:p>
        </w:tc>
        <w:tc>
          <w:tcPr>
            <w:tcW w:w="766" w:type="dxa"/>
            <w:vAlign w:val="center"/>
          </w:tcPr>
          <w:p w14:paraId="54013D9E" w14:textId="77777777" w:rsidR="00C66DF0" w:rsidRPr="0033055B" w:rsidRDefault="00C66DF0" w:rsidP="00C66DF0">
            <w:pPr>
              <w:jc w:val="center"/>
              <w:rPr>
                <w:rFonts w:ascii="Calibri" w:hAnsi="Calibri" w:cs="Calibri"/>
                <w:bCs/>
              </w:rPr>
            </w:pPr>
            <w:r>
              <w:rPr>
                <w:rFonts w:ascii="Calibri" w:hAnsi="Calibri"/>
                <w:bCs/>
              </w:rPr>
              <w:t>44.4%</w:t>
            </w:r>
          </w:p>
        </w:tc>
        <w:tc>
          <w:tcPr>
            <w:tcW w:w="766" w:type="dxa"/>
            <w:vAlign w:val="center"/>
          </w:tcPr>
          <w:p w14:paraId="4EA5AE97" w14:textId="77777777" w:rsidR="00C66DF0" w:rsidRPr="0033055B" w:rsidRDefault="00C66DF0" w:rsidP="00C66DF0">
            <w:pPr>
              <w:jc w:val="center"/>
              <w:rPr>
                <w:rFonts w:ascii="Calibri" w:hAnsi="Calibri" w:cs="Calibri"/>
                <w:bCs/>
              </w:rPr>
            </w:pPr>
            <w:r>
              <w:rPr>
                <w:rFonts w:ascii="Calibri" w:hAnsi="Calibri"/>
                <w:bCs/>
              </w:rPr>
              <w:t>41.8%</w:t>
            </w:r>
          </w:p>
        </w:tc>
        <w:tc>
          <w:tcPr>
            <w:tcW w:w="766" w:type="dxa"/>
            <w:vAlign w:val="center"/>
          </w:tcPr>
          <w:p w14:paraId="4527A8AD" w14:textId="77777777" w:rsidR="00C66DF0" w:rsidRPr="0033055B" w:rsidRDefault="00C66DF0" w:rsidP="00C66DF0">
            <w:pPr>
              <w:jc w:val="center"/>
              <w:rPr>
                <w:rFonts w:ascii="Calibri" w:hAnsi="Calibri" w:cs="Calibri"/>
                <w:bCs/>
              </w:rPr>
            </w:pPr>
            <w:r>
              <w:rPr>
                <w:rFonts w:ascii="Calibri" w:hAnsi="Calibri"/>
                <w:bCs/>
              </w:rPr>
              <w:t>40.6%</w:t>
            </w:r>
          </w:p>
        </w:tc>
        <w:tc>
          <w:tcPr>
            <w:tcW w:w="766" w:type="dxa"/>
            <w:vAlign w:val="center"/>
          </w:tcPr>
          <w:p w14:paraId="1D7EDC2D" w14:textId="77777777" w:rsidR="00C66DF0" w:rsidRPr="0033055B" w:rsidRDefault="00C66DF0" w:rsidP="00C66DF0">
            <w:pPr>
              <w:jc w:val="center"/>
              <w:rPr>
                <w:rFonts w:ascii="Calibri" w:hAnsi="Calibri" w:cs="Calibri"/>
                <w:bCs/>
              </w:rPr>
            </w:pPr>
            <w:r>
              <w:rPr>
                <w:rFonts w:ascii="Calibri" w:hAnsi="Calibri"/>
                <w:bCs/>
              </w:rPr>
              <w:t>46.3%</w:t>
            </w:r>
          </w:p>
        </w:tc>
        <w:tc>
          <w:tcPr>
            <w:tcW w:w="766" w:type="dxa"/>
            <w:vAlign w:val="center"/>
          </w:tcPr>
          <w:p w14:paraId="26D17055" w14:textId="77777777" w:rsidR="00C66DF0" w:rsidRPr="0033055B" w:rsidRDefault="00C66DF0" w:rsidP="00C66DF0">
            <w:pPr>
              <w:jc w:val="center"/>
              <w:rPr>
                <w:rFonts w:ascii="Calibri" w:hAnsi="Calibri" w:cs="Calibri"/>
                <w:bCs/>
              </w:rPr>
            </w:pPr>
            <w:r>
              <w:rPr>
                <w:rFonts w:ascii="Calibri" w:hAnsi="Calibri"/>
                <w:bCs/>
              </w:rPr>
              <w:t>44.3%</w:t>
            </w:r>
          </w:p>
        </w:tc>
        <w:tc>
          <w:tcPr>
            <w:tcW w:w="766" w:type="dxa"/>
            <w:vAlign w:val="center"/>
          </w:tcPr>
          <w:p w14:paraId="4BCF3961" w14:textId="77777777" w:rsidR="00C66DF0" w:rsidRPr="0033055B" w:rsidRDefault="00C66DF0" w:rsidP="00C66DF0">
            <w:pPr>
              <w:jc w:val="center"/>
              <w:rPr>
                <w:rFonts w:ascii="Calibri" w:hAnsi="Calibri" w:cs="Calibri"/>
                <w:bCs/>
              </w:rPr>
            </w:pPr>
            <w:r>
              <w:rPr>
                <w:rFonts w:ascii="Calibri" w:hAnsi="Calibri"/>
                <w:bCs/>
              </w:rPr>
              <w:t>46.8%</w:t>
            </w:r>
          </w:p>
        </w:tc>
        <w:tc>
          <w:tcPr>
            <w:tcW w:w="766" w:type="dxa"/>
            <w:vAlign w:val="center"/>
          </w:tcPr>
          <w:p w14:paraId="67D92989" w14:textId="77777777" w:rsidR="00C66DF0" w:rsidRPr="0033055B" w:rsidRDefault="00C66DF0" w:rsidP="00C66DF0">
            <w:pPr>
              <w:jc w:val="center"/>
              <w:rPr>
                <w:rFonts w:ascii="Calibri" w:hAnsi="Calibri" w:cs="Calibri"/>
                <w:bCs/>
              </w:rPr>
            </w:pPr>
            <w:r>
              <w:rPr>
                <w:rFonts w:ascii="Calibri" w:hAnsi="Calibri"/>
                <w:bCs/>
              </w:rPr>
              <w:t>43.5%</w:t>
            </w:r>
          </w:p>
        </w:tc>
        <w:tc>
          <w:tcPr>
            <w:tcW w:w="766" w:type="dxa"/>
            <w:vAlign w:val="center"/>
          </w:tcPr>
          <w:p w14:paraId="111B4ACF" w14:textId="77777777" w:rsidR="00C66DF0" w:rsidRPr="0033055B" w:rsidRDefault="00C66DF0" w:rsidP="00C66DF0">
            <w:pPr>
              <w:jc w:val="center"/>
              <w:rPr>
                <w:rFonts w:ascii="Calibri" w:hAnsi="Calibri" w:cs="Calibri"/>
                <w:bCs/>
              </w:rPr>
            </w:pPr>
            <w:r>
              <w:rPr>
                <w:rFonts w:ascii="Calibri" w:hAnsi="Calibri"/>
                <w:bCs/>
              </w:rPr>
              <w:t>42.4%</w:t>
            </w:r>
          </w:p>
        </w:tc>
        <w:tc>
          <w:tcPr>
            <w:tcW w:w="766" w:type="dxa"/>
            <w:vAlign w:val="center"/>
          </w:tcPr>
          <w:p w14:paraId="5F11991A" w14:textId="77777777" w:rsidR="00C66DF0" w:rsidRPr="0033055B" w:rsidRDefault="00C66DF0" w:rsidP="00C66DF0">
            <w:pPr>
              <w:jc w:val="center"/>
              <w:rPr>
                <w:rFonts w:ascii="Calibri" w:hAnsi="Calibri" w:cs="Calibri"/>
                <w:bCs/>
              </w:rPr>
            </w:pPr>
            <w:r>
              <w:rPr>
                <w:rFonts w:ascii="Calibri" w:hAnsi="Calibri"/>
                <w:bCs/>
              </w:rPr>
              <w:t>41.6%</w:t>
            </w:r>
          </w:p>
        </w:tc>
        <w:tc>
          <w:tcPr>
            <w:tcW w:w="766" w:type="dxa"/>
            <w:vAlign w:val="center"/>
          </w:tcPr>
          <w:p w14:paraId="412B533C" w14:textId="77777777" w:rsidR="00C66DF0" w:rsidRPr="0033055B" w:rsidRDefault="00C66DF0" w:rsidP="00C66DF0">
            <w:pPr>
              <w:jc w:val="center"/>
              <w:rPr>
                <w:rFonts w:ascii="Calibri" w:hAnsi="Calibri" w:cs="Calibri"/>
                <w:bCs/>
              </w:rPr>
            </w:pPr>
            <w:r>
              <w:rPr>
                <w:rFonts w:ascii="Calibri" w:hAnsi="Calibri"/>
                <w:bCs/>
              </w:rPr>
              <w:t>41.9%</w:t>
            </w:r>
          </w:p>
        </w:tc>
        <w:tc>
          <w:tcPr>
            <w:tcW w:w="766" w:type="dxa"/>
            <w:vAlign w:val="center"/>
          </w:tcPr>
          <w:p w14:paraId="36250801" w14:textId="77777777" w:rsidR="00C66DF0" w:rsidRPr="0033055B" w:rsidDel="00CD75D9" w:rsidRDefault="00C66DF0" w:rsidP="00C66DF0">
            <w:pPr>
              <w:jc w:val="center"/>
              <w:rPr>
                <w:rFonts w:ascii="Calibri" w:hAnsi="Calibri" w:cs="Calibri"/>
                <w:bCs/>
              </w:rPr>
            </w:pPr>
            <w:r>
              <w:rPr>
                <w:rFonts w:ascii="Calibri" w:hAnsi="Calibri"/>
                <w:bCs/>
              </w:rPr>
              <w:t>42.3%</w:t>
            </w:r>
          </w:p>
        </w:tc>
        <w:tc>
          <w:tcPr>
            <w:tcW w:w="766" w:type="dxa"/>
            <w:vAlign w:val="center"/>
          </w:tcPr>
          <w:p w14:paraId="45B0D4B9" w14:textId="77777777" w:rsidR="00C66DF0" w:rsidRPr="0033055B" w:rsidDel="00CD75D9" w:rsidRDefault="00C66DF0" w:rsidP="00C66DF0">
            <w:pPr>
              <w:jc w:val="center"/>
              <w:rPr>
                <w:rFonts w:ascii="Calibri" w:hAnsi="Calibri" w:cs="Calibri"/>
                <w:bCs/>
              </w:rPr>
            </w:pPr>
            <w:r>
              <w:rPr>
                <w:rFonts w:ascii="Calibri" w:hAnsi="Calibri"/>
                <w:bCs/>
              </w:rPr>
              <w:t>44.4%</w:t>
            </w:r>
          </w:p>
        </w:tc>
      </w:tr>
      <w:tr w:rsidR="00C66DF0" w:rsidRPr="0033055B" w14:paraId="56718CC1" w14:textId="77777777" w:rsidTr="007563F9">
        <w:trPr>
          <w:trHeight w:val="217"/>
          <w:jc w:val="center"/>
        </w:trPr>
        <w:tc>
          <w:tcPr>
            <w:tcW w:w="1354" w:type="dxa"/>
          </w:tcPr>
          <w:p w14:paraId="6C71B621" w14:textId="77777777" w:rsidR="00C66DF0" w:rsidRPr="0033055B" w:rsidRDefault="00C66DF0" w:rsidP="00C66DF0">
            <w:r>
              <w:t>BRE-E</w:t>
            </w:r>
            <w:r w:rsidRPr="0033055B">
              <w:rPr>
                <w:rStyle w:val="FootnoteReference"/>
                <w:rFonts w:cstheme="minorHAnsi"/>
                <w:bCs/>
                <w:iCs/>
                <w:lang w:val="en-GB"/>
              </w:rPr>
              <w:footnoteReference w:id="11"/>
            </w:r>
            <w:r>
              <w:t xml:space="preserve"> </w:t>
            </w:r>
          </w:p>
        </w:tc>
        <w:tc>
          <w:tcPr>
            <w:tcW w:w="766" w:type="dxa"/>
            <w:vAlign w:val="center"/>
          </w:tcPr>
          <w:p w14:paraId="6164EFE5" w14:textId="77777777" w:rsidR="00C66DF0" w:rsidRPr="0033055B" w:rsidRDefault="00C66DF0" w:rsidP="00C66DF0">
            <w:pPr>
              <w:jc w:val="center"/>
              <w:rPr>
                <w:rFonts w:ascii="Calibri" w:hAnsi="Calibri" w:cs="Calibri"/>
                <w:bCs/>
              </w:rPr>
            </w:pPr>
            <w:r>
              <w:rPr>
                <w:rFonts w:ascii="Calibri" w:hAnsi="Calibri"/>
                <w:bCs/>
              </w:rPr>
              <w:t>1.1%</w:t>
            </w:r>
          </w:p>
        </w:tc>
        <w:tc>
          <w:tcPr>
            <w:tcW w:w="766" w:type="dxa"/>
            <w:vAlign w:val="center"/>
          </w:tcPr>
          <w:p w14:paraId="78541135" w14:textId="77777777" w:rsidR="00C66DF0" w:rsidRPr="0033055B" w:rsidRDefault="00C66DF0" w:rsidP="00C66DF0">
            <w:pPr>
              <w:jc w:val="center"/>
              <w:rPr>
                <w:rFonts w:ascii="Calibri" w:hAnsi="Calibri" w:cs="Calibri"/>
                <w:bCs/>
              </w:rPr>
            </w:pPr>
            <w:r>
              <w:rPr>
                <w:rFonts w:ascii="Calibri" w:hAnsi="Calibri"/>
                <w:bCs/>
              </w:rPr>
              <w:t>1.3%</w:t>
            </w:r>
          </w:p>
        </w:tc>
        <w:tc>
          <w:tcPr>
            <w:tcW w:w="766" w:type="dxa"/>
            <w:vAlign w:val="center"/>
          </w:tcPr>
          <w:p w14:paraId="4C252978" w14:textId="77777777" w:rsidR="00C66DF0" w:rsidRPr="0033055B" w:rsidRDefault="00C66DF0" w:rsidP="00C66DF0">
            <w:pPr>
              <w:jc w:val="center"/>
              <w:rPr>
                <w:rFonts w:ascii="Calibri" w:hAnsi="Calibri" w:cs="Calibri"/>
                <w:bCs/>
              </w:rPr>
            </w:pPr>
            <w:r>
              <w:rPr>
                <w:rFonts w:ascii="Calibri" w:hAnsi="Calibri"/>
                <w:bCs/>
              </w:rPr>
              <w:t>1.4%</w:t>
            </w:r>
          </w:p>
        </w:tc>
        <w:tc>
          <w:tcPr>
            <w:tcW w:w="766" w:type="dxa"/>
            <w:vAlign w:val="center"/>
          </w:tcPr>
          <w:p w14:paraId="48B4CD51" w14:textId="77777777" w:rsidR="00C66DF0" w:rsidRPr="0033055B" w:rsidRDefault="00C66DF0" w:rsidP="00C66DF0">
            <w:pPr>
              <w:jc w:val="center"/>
              <w:rPr>
                <w:rFonts w:ascii="Calibri" w:hAnsi="Calibri" w:cs="Calibri"/>
                <w:bCs/>
              </w:rPr>
            </w:pPr>
            <w:r>
              <w:rPr>
                <w:rFonts w:ascii="Calibri" w:hAnsi="Calibri"/>
                <w:bCs/>
              </w:rPr>
              <w:t>1.5%</w:t>
            </w:r>
          </w:p>
        </w:tc>
        <w:tc>
          <w:tcPr>
            <w:tcW w:w="766" w:type="dxa"/>
            <w:vAlign w:val="center"/>
          </w:tcPr>
          <w:p w14:paraId="5B356568" w14:textId="77777777" w:rsidR="00C66DF0" w:rsidRPr="0033055B" w:rsidRDefault="00C66DF0" w:rsidP="00C66DF0">
            <w:pPr>
              <w:jc w:val="center"/>
              <w:rPr>
                <w:rFonts w:ascii="Calibri" w:hAnsi="Calibri" w:cs="Calibri"/>
                <w:bCs/>
              </w:rPr>
            </w:pPr>
            <w:r>
              <w:rPr>
                <w:rFonts w:ascii="Calibri" w:hAnsi="Calibri"/>
                <w:bCs/>
              </w:rPr>
              <w:t>1.6%</w:t>
            </w:r>
          </w:p>
        </w:tc>
        <w:tc>
          <w:tcPr>
            <w:tcW w:w="766" w:type="dxa"/>
            <w:vAlign w:val="center"/>
          </w:tcPr>
          <w:p w14:paraId="2A801D7A" w14:textId="77777777" w:rsidR="00C66DF0" w:rsidRPr="0033055B" w:rsidRDefault="00C66DF0" w:rsidP="00C66DF0">
            <w:pPr>
              <w:jc w:val="center"/>
              <w:rPr>
                <w:rFonts w:ascii="Calibri" w:hAnsi="Calibri" w:cs="Calibri"/>
                <w:bCs/>
              </w:rPr>
            </w:pPr>
            <w:r>
              <w:rPr>
                <w:rFonts w:ascii="Calibri" w:hAnsi="Calibri"/>
                <w:bCs/>
              </w:rPr>
              <w:t>1.9%</w:t>
            </w:r>
          </w:p>
        </w:tc>
        <w:tc>
          <w:tcPr>
            <w:tcW w:w="766" w:type="dxa"/>
            <w:vAlign w:val="center"/>
          </w:tcPr>
          <w:p w14:paraId="0FF78ADE" w14:textId="77777777" w:rsidR="00C66DF0" w:rsidRPr="0033055B" w:rsidRDefault="00C66DF0" w:rsidP="00C66DF0">
            <w:pPr>
              <w:jc w:val="center"/>
              <w:rPr>
                <w:rFonts w:ascii="Calibri" w:hAnsi="Calibri" w:cs="Calibri"/>
                <w:bCs/>
              </w:rPr>
            </w:pPr>
            <w:r>
              <w:rPr>
                <w:rFonts w:ascii="Calibri" w:hAnsi="Calibri"/>
                <w:bCs/>
              </w:rPr>
              <w:t>1.8%</w:t>
            </w:r>
          </w:p>
        </w:tc>
        <w:tc>
          <w:tcPr>
            <w:tcW w:w="766" w:type="dxa"/>
            <w:vAlign w:val="center"/>
          </w:tcPr>
          <w:p w14:paraId="26972D4F" w14:textId="77777777" w:rsidR="00C66DF0" w:rsidRPr="0033055B" w:rsidRDefault="00C66DF0" w:rsidP="00C66DF0">
            <w:pPr>
              <w:jc w:val="center"/>
              <w:rPr>
                <w:rFonts w:ascii="Calibri" w:hAnsi="Calibri" w:cs="Calibri"/>
                <w:bCs/>
              </w:rPr>
            </w:pPr>
            <w:r>
              <w:rPr>
                <w:rFonts w:ascii="Calibri" w:hAnsi="Calibri"/>
                <w:bCs/>
              </w:rPr>
              <w:t>5.2%</w:t>
            </w:r>
          </w:p>
        </w:tc>
        <w:tc>
          <w:tcPr>
            <w:tcW w:w="766" w:type="dxa"/>
            <w:vAlign w:val="center"/>
          </w:tcPr>
          <w:p w14:paraId="10B1EE31" w14:textId="77777777" w:rsidR="00C66DF0" w:rsidRPr="0033055B" w:rsidRDefault="00C66DF0" w:rsidP="00C66DF0">
            <w:pPr>
              <w:jc w:val="center"/>
              <w:rPr>
                <w:rFonts w:ascii="Calibri" w:hAnsi="Calibri" w:cs="Calibri"/>
                <w:bCs/>
              </w:rPr>
            </w:pPr>
            <w:r>
              <w:rPr>
                <w:rFonts w:ascii="Calibri" w:hAnsi="Calibri"/>
                <w:bCs/>
              </w:rPr>
              <w:t>5.1%</w:t>
            </w:r>
          </w:p>
        </w:tc>
        <w:tc>
          <w:tcPr>
            <w:tcW w:w="766" w:type="dxa"/>
            <w:vAlign w:val="center"/>
          </w:tcPr>
          <w:p w14:paraId="150B9403" w14:textId="77777777" w:rsidR="00C66DF0" w:rsidRPr="0033055B" w:rsidRDefault="00C66DF0" w:rsidP="00C66DF0">
            <w:pPr>
              <w:jc w:val="center"/>
              <w:rPr>
                <w:rFonts w:ascii="Calibri" w:hAnsi="Calibri" w:cs="Calibri"/>
                <w:bCs/>
              </w:rPr>
            </w:pPr>
            <w:r>
              <w:rPr>
                <w:rFonts w:ascii="Calibri" w:hAnsi="Calibri"/>
                <w:bCs/>
              </w:rPr>
              <w:t>8.2%</w:t>
            </w:r>
          </w:p>
        </w:tc>
        <w:tc>
          <w:tcPr>
            <w:tcW w:w="766" w:type="dxa"/>
            <w:vAlign w:val="center"/>
          </w:tcPr>
          <w:p w14:paraId="7839F221" w14:textId="77777777" w:rsidR="00C66DF0" w:rsidRPr="0033055B" w:rsidDel="00CD75D9" w:rsidRDefault="00C66DF0" w:rsidP="00C66DF0">
            <w:pPr>
              <w:jc w:val="center"/>
              <w:rPr>
                <w:rFonts w:ascii="Calibri" w:hAnsi="Calibri" w:cs="Calibri"/>
                <w:bCs/>
              </w:rPr>
            </w:pPr>
            <w:r>
              <w:rPr>
                <w:rFonts w:ascii="Calibri" w:hAnsi="Calibri"/>
                <w:bCs/>
              </w:rPr>
              <w:t>9.7%</w:t>
            </w:r>
          </w:p>
        </w:tc>
        <w:tc>
          <w:tcPr>
            <w:tcW w:w="766" w:type="dxa"/>
            <w:vAlign w:val="center"/>
          </w:tcPr>
          <w:p w14:paraId="620AE149" w14:textId="77777777" w:rsidR="00C66DF0" w:rsidRPr="0033055B" w:rsidDel="00CD75D9" w:rsidRDefault="00C66DF0" w:rsidP="00C66DF0">
            <w:pPr>
              <w:jc w:val="center"/>
              <w:rPr>
                <w:rFonts w:ascii="Calibri" w:hAnsi="Calibri" w:cs="Calibri"/>
                <w:bCs/>
              </w:rPr>
            </w:pPr>
            <w:r>
              <w:rPr>
                <w:rFonts w:ascii="Calibri" w:hAnsi="Calibri"/>
                <w:bCs/>
              </w:rPr>
              <w:t>14.6%</w:t>
            </w:r>
          </w:p>
        </w:tc>
      </w:tr>
      <w:tr w:rsidR="00C66DF0" w:rsidRPr="0033055B" w14:paraId="493D2BAA" w14:textId="77777777" w:rsidTr="007563F9">
        <w:trPr>
          <w:trHeight w:val="204"/>
          <w:jc w:val="center"/>
        </w:trPr>
        <w:tc>
          <w:tcPr>
            <w:tcW w:w="1354" w:type="dxa"/>
          </w:tcPr>
          <w:p w14:paraId="5D319CC8" w14:textId="77777777" w:rsidR="00C66DF0" w:rsidRPr="0033055B" w:rsidRDefault="00C66DF0" w:rsidP="00C66DF0">
            <w:r>
              <w:t>BRE-T</w:t>
            </w:r>
            <w:r w:rsidRPr="0033055B">
              <w:rPr>
                <w:rStyle w:val="FootnoteReference"/>
                <w:rFonts w:cstheme="minorHAnsi"/>
                <w:bCs/>
                <w:iCs/>
                <w:lang w:val="en-GB"/>
              </w:rPr>
              <w:footnoteReference w:id="12"/>
            </w:r>
            <w:r>
              <w:t xml:space="preserve"> </w:t>
            </w:r>
          </w:p>
        </w:tc>
        <w:tc>
          <w:tcPr>
            <w:tcW w:w="766" w:type="dxa"/>
            <w:vAlign w:val="center"/>
          </w:tcPr>
          <w:p w14:paraId="5358883C" w14:textId="77777777" w:rsidR="00C66DF0" w:rsidRPr="0033055B" w:rsidRDefault="00C66DF0" w:rsidP="00C66DF0">
            <w:pPr>
              <w:jc w:val="center"/>
              <w:rPr>
                <w:rFonts w:ascii="Calibri" w:hAnsi="Calibri" w:cs="Calibri"/>
                <w:bCs/>
              </w:rPr>
            </w:pPr>
            <w:r>
              <w:rPr>
                <w:rFonts w:ascii="Calibri" w:hAnsi="Calibri"/>
                <w:bCs/>
              </w:rPr>
              <w:t>0.0%</w:t>
            </w:r>
          </w:p>
        </w:tc>
        <w:tc>
          <w:tcPr>
            <w:tcW w:w="766" w:type="dxa"/>
            <w:vAlign w:val="center"/>
          </w:tcPr>
          <w:p w14:paraId="066F4F00" w14:textId="77777777" w:rsidR="00C66DF0" w:rsidRPr="0033055B" w:rsidRDefault="00C66DF0" w:rsidP="00C66DF0">
            <w:pPr>
              <w:jc w:val="center"/>
              <w:rPr>
                <w:rFonts w:ascii="Calibri" w:hAnsi="Calibri" w:cs="Calibri"/>
                <w:bCs/>
              </w:rPr>
            </w:pPr>
            <w:r>
              <w:rPr>
                <w:rFonts w:ascii="Calibri" w:hAnsi="Calibri"/>
                <w:bCs/>
              </w:rPr>
              <w:t>0.0%</w:t>
            </w:r>
          </w:p>
        </w:tc>
        <w:tc>
          <w:tcPr>
            <w:tcW w:w="766" w:type="dxa"/>
            <w:vAlign w:val="center"/>
          </w:tcPr>
          <w:p w14:paraId="7736675F" w14:textId="77777777" w:rsidR="00C66DF0" w:rsidRPr="0033055B" w:rsidRDefault="00C66DF0" w:rsidP="00C66DF0">
            <w:pPr>
              <w:jc w:val="center"/>
              <w:rPr>
                <w:rFonts w:ascii="Calibri" w:hAnsi="Calibri" w:cs="Calibri"/>
                <w:bCs/>
              </w:rPr>
            </w:pPr>
            <w:r>
              <w:rPr>
                <w:rFonts w:ascii="Calibri" w:hAnsi="Calibri"/>
                <w:bCs/>
              </w:rPr>
              <w:t>0.0%</w:t>
            </w:r>
          </w:p>
        </w:tc>
        <w:tc>
          <w:tcPr>
            <w:tcW w:w="766" w:type="dxa"/>
            <w:vAlign w:val="center"/>
          </w:tcPr>
          <w:p w14:paraId="7D28A670" w14:textId="77777777" w:rsidR="00C66DF0" w:rsidRPr="0033055B" w:rsidRDefault="00C66DF0" w:rsidP="00C66DF0">
            <w:pPr>
              <w:jc w:val="center"/>
              <w:rPr>
                <w:rFonts w:ascii="Calibri" w:hAnsi="Calibri" w:cs="Calibri"/>
                <w:bCs/>
              </w:rPr>
            </w:pPr>
            <w:r>
              <w:rPr>
                <w:rFonts w:ascii="Calibri" w:hAnsi="Calibri"/>
                <w:bCs/>
              </w:rPr>
              <w:t>0.0%</w:t>
            </w:r>
          </w:p>
        </w:tc>
        <w:tc>
          <w:tcPr>
            <w:tcW w:w="766" w:type="dxa"/>
            <w:vAlign w:val="center"/>
          </w:tcPr>
          <w:p w14:paraId="1B860B81" w14:textId="77777777" w:rsidR="00C66DF0" w:rsidRPr="0033055B" w:rsidRDefault="00C66DF0" w:rsidP="00C66DF0">
            <w:pPr>
              <w:jc w:val="center"/>
              <w:rPr>
                <w:rFonts w:ascii="Calibri" w:hAnsi="Calibri" w:cs="Calibri"/>
                <w:bCs/>
              </w:rPr>
            </w:pPr>
            <w:r>
              <w:rPr>
                <w:rFonts w:ascii="Calibri" w:hAnsi="Calibri"/>
                <w:bCs/>
              </w:rPr>
              <w:t>0.0%</w:t>
            </w:r>
          </w:p>
        </w:tc>
        <w:tc>
          <w:tcPr>
            <w:tcW w:w="766" w:type="dxa"/>
            <w:vAlign w:val="center"/>
          </w:tcPr>
          <w:p w14:paraId="00740E3D" w14:textId="77777777" w:rsidR="00C66DF0" w:rsidRPr="0033055B" w:rsidRDefault="00C66DF0" w:rsidP="00C66DF0">
            <w:pPr>
              <w:jc w:val="center"/>
              <w:rPr>
                <w:rFonts w:ascii="Calibri" w:hAnsi="Calibri" w:cs="Calibri"/>
                <w:bCs/>
              </w:rPr>
            </w:pPr>
            <w:r>
              <w:rPr>
                <w:rFonts w:ascii="Calibri" w:hAnsi="Calibri"/>
                <w:bCs/>
              </w:rPr>
              <w:t>0.0%</w:t>
            </w:r>
          </w:p>
        </w:tc>
        <w:tc>
          <w:tcPr>
            <w:tcW w:w="766" w:type="dxa"/>
            <w:vAlign w:val="center"/>
          </w:tcPr>
          <w:p w14:paraId="7F52DA60" w14:textId="77777777" w:rsidR="00C66DF0" w:rsidRPr="0033055B" w:rsidRDefault="00C66DF0" w:rsidP="00C66DF0">
            <w:pPr>
              <w:jc w:val="center"/>
              <w:rPr>
                <w:rFonts w:ascii="Calibri" w:hAnsi="Calibri" w:cs="Calibri"/>
                <w:bCs/>
              </w:rPr>
            </w:pPr>
            <w:r>
              <w:rPr>
                <w:rFonts w:ascii="Calibri" w:hAnsi="Calibri"/>
                <w:bCs/>
              </w:rPr>
              <w:t>0.0%</w:t>
            </w:r>
          </w:p>
        </w:tc>
        <w:tc>
          <w:tcPr>
            <w:tcW w:w="766" w:type="dxa"/>
            <w:vAlign w:val="center"/>
          </w:tcPr>
          <w:p w14:paraId="28909920" w14:textId="77777777" w:rsidR="00C66DF0" w:rsidRPr="0033055B" w:rsidRDefault="00C66DF0" w:rsidP="00C66DF0">
            <w:pPr>
              <w:jc w:val="center"/>
              <w:rPr>
                <w:rFonts w:ascii="Calibri" w:hAnsi="Calibri" w:cs="Calibri"/>
                <w:bCs/>
              </w:rPr>
            </w:pPr>
            <w:r>
              <w:rPr>
                <w:rFonts w:ascii="Calibri" w:hAnsi="Calibri"/>
                <w:bCs/>
              </w:rPr>
              <w:t>0.0%</w:t>
            </w:r>
          </w:p>
        </w:tc>
        <w:tc>
          <w:tcPr>
            <w:tcW w:w="766" w:type="dxa"/>
            <w:vAlign w:val="center"/>
          </w:tcPr>
          <w:p w14:paraId="4E4F3691" w14:textId="77777777" w:rsidR="00C66DF0" w:rsidRPr="0033055B" w:rsidRDefault="00C66DF0" w:rsidP="00C66DF0">
            <w:pPr>
              <w:jc w:val="center"/>
              <w:rPr>
                <w:rFonts w:ascii="Calibri" w:hAnsi="Calibri" w:cs="Calibri"/>
                <w:bCs/>
              </w:rPr>
            </w:pPr>
            <w:r>
              <w:rPr>
                <w:rFonts w:ascii="Calibri" w:hAnsi="Calibri"/>
                <w:bCs/>
              </w:rPr>
              <w:t>0.0%</w:t>
            </w:r>
          </w:p>
        </w:tc>
        <w:tc>
          <w:tcPr>
            <w:tcW w:w="766" w:type="dxa"/>
            <w:vAlign w:val="center"/>
          </w:tcPr>
          <w:p w14:paraId="4FED3FA0" w14:textId="77777777" w:rsidR="00C66DF0" w:rsidRPr="0033055B" w:rsidRDefault="00C66DF0" w:rsidP="00C66DF0">
            <w:pPr>
              <w:jc w:val="center"/>
              <w:rPr>
                <w:rFonts w:ascii="Calibri" w:hAnsi="Calibri" w:cs="Calibri"/>
                <w:bCs/>
              </w:rPr>
            </w:pPr>
            <w:r>
              <w:rPr>
                <w:rFonts w:ascii="Calibri" w:hAnsi="Calibri"/>
                <w:bCs/>
              </w:rPr>
              <w:t>2.0%</w:t>
            </w:r>
          </w:p>
        </w:tc>
        <w:tc>
          <w:tcPr>
            <w:tcW w:w="766" w:type="dxa"/>
            <w:vAlign w:val="center"/>
          </w:tcPr>
          <w:p w14:paraId="5BAECCFE" w14:textId="77777777" w:rsidR="00C66DF0" w:rsidRPr="0033055B" w:rsidDel="00CD75D9" w:rsidRDefault="00C66DF0" w:rsidP="00C66DF0">
            <w:pPr>
              <w:jc w:val="center"/>
              <w:rPr>
                <w:rFonts w:ascii="Calibri" w:hAnsi="Calibri" w:cs="Calibri"/>
                <w:bCs/>
              </w:rPr>
            </w:pPr>
            <w:r>
              <w:rPr>
                <w:rFonts w:ascii="Calibri" w:hAnsi="Calibri"/>
                <w:bCs/>
              </w:rPr>
              <w:t>5.0%</w:t>
            </w:r>
          </w:p>
        </w:tc>
        <w:tc>
          <w:tcPr>
            <w:tcW w:w="766" w:type="dxa"/>
            <w:vAlign w:val="center"/>
          </w:tcPr>
          <w:p w14:paraId="5BFB0D61" w14:textId="77777777" w:rsidR="00C66DF0" w:rsidRPr="0033055B" w:rsidDel="00CD75D9" w:rsidRDefault="00C66DF0" w:rsidP="00C66DF0">
            <w:pPr>
              <w:jc w:val="center"/>
              <w:rPr>
                <w:rFonts w:ascii="Calibri" w:hAnsi="Calibri" w:cs="Calibri"/>
                <w:bCs/>
              </w:rPr>
            </w:pPr>
            <w:r>
              <w:rPr>
                <w:rFonts w:ascii="Calibri" w:hAnsi="Calibri"/>
                <w:bCs/>
              </w:rPr>
              <w:t>10.0%</w:t>
            </w:r>
          </w:p>
        </w:tc>
      </w:tr>
      <w:tr w:rsidR="00C66DF0" w:rsidRPr="0033055B" w14:paraId="7AF4E646" w14:textId="77777777" w:rsidTr="007563F9">
        <w:trPr>
          <w:trHeight w:val="217"/>
          <w:jc w:val="center"/>
        </w:trPr>
        <w:tc>
          <w:tcPr>
            <w:tcW w:w="1354" w:type="dxa"/>
          </w:tcPr>
          <w:p w14:paraId="4AC0E20A" w14:textId="1F30720C" w:rsidR="00C66DF0" w:rsidRPr="0033055B" w:rsidRDefault="00077D78" w:rsidP="00C66DF0">
            <w:r>
              <w:t xml:space="preserve">Pjesëmarrja </w:t>
            </w:r>
            <w:r w:rsidR="00C66DF0">
              <w:t xml:space="preserve"> e përgjithshme e BRE-ve</w:t>
            </w:r>
            <w:r w:rsidR="00C66DF0" w:rsidRPr="0033055B">
              <w:rPr>
                <w:rStyle w:val="FootnoteReference"/>
                <w:rFonts w:cstheme="minorHAnsi"/>
                <w:bCs/>
                <w:iCs/>
                <w:lang w:val="en-GB"/>
              </w:rPr>
              <w:footnoteReference w:id="13"/>
            </w:r>
            <w:r w:rsidR="00C66DF0">
              <w:t xml:space="preserve"> </w:t>
            </w:r>
          </w:p>
        </w:tc>
        <w:tc>
          <w:tcPr>
            <w:tcW w:w="766" w:type="dxa"/>
            <w:vAlign w:val="center"/>
          </w:tcPr>
          <w:p w14:paraId="64AC65D5" w14:textId="77777777" w:rsidR="00C66DF0" w:rsidRPr="0033055B" w:rsidRDefault="00C66DF0" w:rsidP="00C66DF0">
            <w:pPr>
              <w:jc w:val="center"/>
              <w:rPr>
                <w:rFonts w:ascii="Calibri" w:hAnsi="Calibri" w:cs="Calibri"/>
                <w:bCs/>
              </w:rPr>
            </w:pPr>
            <w:r>
              <w:rPr>
                <w:rFonts w:ascii="Calibri" w:hAnsi="Calibri"/>
                <w:bCs/>
              </w:rPr>
              <w:t>17.7%</w:t>
            </w:r>
          </w:p>
        </w:tc>
        <w:tc>
          <w:tcPr>
            <w:tcW w:w="766" w:type="dxa"/>
            <w:vAlign w:val="center"/>
          </w:tcPr>
          <w:p w14:paraId="44CB922B" w14:textId="77777777" w:rsidR="00C66DF0" w:rsidRPr="0033055B" w:rsidRDefault="00C66DF0" w:rsidP="00C66DF0">
            <w:pPr>
              <w:jc w:val="center"/>
              <w:rPr>
                <w:rFonts w:ascii="Calibri" w:hAnsi="Calibri" w:cs="Calibri"/>
                <w:bCs/>
              </w:rPr>
            </w:pPr>
            <w:r>
              <w:rPr>
                <w:rFonts w:ascii="Calibri" w:hAnsi="Calibri"/>
                <w:bCs/>
              </w:rPr>
              <w:t>17.6%</w:t>
            </w:r>
          </w:p>
        </w:tc>
        <w:tc>
          <w:tcPr>
            <w:tcW w:w="766" w:type="dxa"/>
            <w:vAlign w:val="center"/>
          </w:tcPr>
          <w:p w14:paraId="50B343C7" w14:textId="77777777" w:rsidR="00C66DF0" w:rsidRPr="0033055B" w:rsidRDefault="00C66DF0" w:rsidP="00C66DF0">
            <w:pPr>
              <w:jc w:val="center"/>
              <w:rPr>
                <w:rFonts w:ascii="Calibri" w:hAnsi="Calibri" w:cs="Calibri"/>
                <w:bCs/>
              </w:rPr>
            </w:pPr>
            <w:r>
              <w:rPr>
                <w:rFonts w:ascii="Calibri" w:hAnsi="Calibri"/>
                <w:bCs/>
              </w:rPr>
              <w:t>16.9%</w:t>
            </w:r>
          </w:p>
        </w:tc>
        <w:tc>
          <w:tcPr>
            <w:tcW w:w="766" w:type="dxa"/>
            <w:vAlign w:val="center"/>
          </w:tcPr>
          <w:p w14:paraId="083C0010" w14:textId="77777777" w:rsidR="00C66DF0" w:rsidRPr="0033055B" w:rsidRDefault="00C66DF0" w:rsidP="00C66DF0">
            <w:pPr>
              <w:jc w:val="center"/>
              <w:rPr>
                <w:rFonts w:ascii="Calibri" w:hAnsi="Calibri" w:cs="Calibri"/>
                <w:bCs/>
              </w:rPr>
            </w:pPr>
            <w:r>
              <w:rPr>
                <w:rFonts w:ascii="Calibri" w:hAnsi="Calibri"/>
                <w:bCs/>
              </w:rPr>
              <w:t>18.2%</w:t>
            </w:r>
          </w:p>
        </w:tc>
        <w:tc>
          <w:tcPr>
            <w:tcW w:w="766" w:type="dxa"/>
            <w:vAlign w:val="center"/>
          </w:tcPr>
          <w:p w14:paraId="00DB2654" w14:textId="77777777" w:rsidR="00C66DF0" w:rsidRPr="0033055B" w:rsidRDefault="00C66DF0" w:rsidP="00C66DF0">
            <w:pPr>
              <w:jc w:val="center"/>
              <w:rPr>
                <w:rFonts w:ascii="Calibri" w:hAnsi="Calibri" w:cs="Calibri"/>
                <w:bCs/>
              </w:rPr>
            </w:pPr>
            <w:r>
              <w:rPr>
                <w:rFonts w:ascii="Calibri" w:hAnsi="Calibri"/>
                <w:bCs/>
              </w:rPr>
              <w:t>18.0%</w:t>
            </w:r>
          </w:p>
        </w:tc>
        <w:tc>
          <w:tcPr>
            <w:tcW w:w="766" w:type="dxa"/>
            <w:vAlign w:val="center"/>
          </w:tcPr>
          <w:p w14:paraId="725A270D" w14:textId="77777777" w:rsidR="00C66DF0" w:rsidRPr="0033055B" w:rsidRDefault="00C66DF0" w:rsidP="00C66DF0">
            <w:pPr>
              <w:jc w:val="center"/>
              <w:rPr>
                <w:rFonts w:ascii="Calibri" w:hAnsi="Calibri" w:cs="Calibri"/>
                <w:bCs/>
              </w:rPr>
            </w:pPr>
            <w:r>
              <w:rPr>
                <w:rFonts w:ascii="Calibri" w:hAnsi="Calibri"/>
                <w:bCs/>
              </w:rPr>
              <w:t>18.8%</w:t>
            </w:r>
          </w:p>
        </w:tc>
        <w:tc>
          <w:tcPr>
            <w:tcW w:w="766" w:type="dxa"/>
            <w:vAlign w:val="center"/>
          </w:tcPr>
          <w:p w14:paraId="079902F5" w14:textId="77777777" w:rsidR="00C66DF0" w:rsidRPr="0033055B" w:rsidRDefault="00C66DF0" w:rsidP="00C66DF0">
            <w:pPr>
              <w:jc w:val="center"/>
              <w:rPr>
                <w:rFonts w:ascii="Calibri" w:hAnsi="Calibri" w:cs="Calibri"/>
                <w:bCs/>
              </w:rPr>
            </w:pPr>
            <w:r>
              <w:rPr>
                <w:rFonts w:ascii="Calibri" w:hAnsi="Calibri"/>
                <w:bCs/>
              </w:rPr>
              <w:t>18.0%</w:t>
            </w:r>
          </w:p>
        </w:tc>
        <w:tc>
          <w:tcPr>
            <w:tcW w:w="766" w:type="dxa"/>
            <w:vAlign w:val="center"/>
          </w:tcPr>
          <w:p w14:paraId="141318F2" w14:textId="77777777" w:rsidR="00C66DF0" w:rsidRPr="0033055B" w:rsidRDefault="00C66DF0" w:rsidP="00C66DF0">
            <w:pPr>
              <w:jc w:val="center"/>
              <w:rPr>
                <w:rFonts w:ascii="Calibri" w:hAnsi="Calibri" w:cs="Calibri"/>
                <w:bCs/>
              </w:rPr>
            </w:pPr>
            <w:r>
              <w:rPr>
                <w:rFonts w:ascii="Calibri" w:hAnsi="Calibri"/>
                <w:bCs/>
              </w:rPr>
              <w:t>18.8%</w:t>
            </w:r>
          </w:p>
        </w:tc>
        <w:tc>
          <w:tcPr>
            <w:tcW w:w="766" w:type="dxa"/>
            <w:vAlign w:val="center"/>
          </w:tcPr>
          <w:p w14:paraId="3BB0A846" w14:textId="77777777" w:rsidR="00C66DF0" w:rsidRPr="0033055B" w:rsidRDefault="00C66DF0" w:rsidP="00C66DF0">
            <w:pPr>
              <w:jc w:val="center"/>
              <w:rPr>
                <w:rFonts w:ascii="Calibri" w:hAnsi="Calibri" w:cs="Calibri"/>
                <w:bCs/>
              </w:rPr>
            </w:pPr>
            <w:r>
              <w:rPr>
                <w:rFonts w:ascii="Calibri" w:hAnsi="Calibri"/>
                <w:bCs/>
              </w:rPr>
              <w:t>18.4%</w:t>
            </w:r>
          </w:p>
        </w:tc>
        <w:tc>
          <w:tcPr>
            <w:tcW w:w="766" w:type="dxa"/>
            <w:vAlign w:val="center"/>
          </w:tcPr>
          <w:p w14:paraId="03344D4A" w14:textId="77777777" w:rsidR="00C66DF0" w:rsidRPr="0033055B" w:rsidRDefault="00C66DF0" w:rsidP="00C66DF0">
            <w:pPr>
              <w:jc w:val="center"/>
              <w:rPr>
                <w:rFonts w:ascii="Calibri" w:hAnsi="Calibri" w:cs="Calibri"/>
                <w:bCs/>
              </w:rPr>
            </w:pPr>
            <w:r>
              <w:rPr>
                <w:rFonts w:ascii="Calibri" w:hAnsi="Calibri"/>
                <w:bCs/>
              </w:rPr>
              <w:t>20.1%</w:t>
            </w:r>
          </w:p>
        </w:tc>
        <w:tc>
          <w:tcPr>
            <w:tcW w:w="766" w:type="dxa"/>
            <w:vAlign w:val="center"/>
          </w:tcPr>
          <w:p w14:paraId="0885CAC8" w14:textId="77777777" w:rsidR="00C66DF0" w:rsidRPr="0033055B" w:rsidDel="00CD75D9" w:rsidRDefault="00C66DF0" w:rsidP="00C66DF0">
            <w:pPr>
              <w:jc w:val="center"/>
              <w:rPr>
                <w:rFonts w:ascii="Calibri" w:hAnsi="Calibri" w:cs="Calibri"/>
                <w:bCs/>
              </w:rPr>
            </w:pPr>
            <w:r>
              <w:rPr>
                <w:rFonts w:ascii="Calibri" w:hAnsi="Calibri"/>
                <w:bCs/>
              </w:rPr>
              <w:t>21.3%</w:t>
            </w:r>
          </w:p>
        </w:tc>
        <w:tc>
          <w:tcPr>
            <w:tcW w:w="766" w:type="dxa"/>
            <w:vAlign w:val="center"/>
          </w:tcPr>
          <w:p w14:paraId="0FC1054C" w14:textId="77777777" w:rsidR="00C66DF0" w:rsidRPr="0033055B" w:rsidDel="00CD75D9" w:rsidRDefault="00C66DF0" w:rsidP="00C66DF0">
            <w:pPr>
              <w:jc w:val="center"/>
              <w:rPr>
                <w:rFonts w:ascii="Calibri" w:hAnsi="Calibri" w:cs="Calibri"/>
                <w:bCs/>
              </w:rPr>
            </w:pPr>
            <w:r>
              <w:rPr>
                <w:rFonts w:ascii="Calibri" w:hAnsi="Calibri"/>
                <w:bCs/>
              </w:rPr>
              <w:t>25.0%</w:t>
            </w:r>
          </w:p>
        </w:tc>
      </w:tr>
      <w:tr w:rsidR="00C21831" w:rsidRPr="0033055B" w14:paraId="1C74F469" w14:textId="77777777" w:rsidTr="00482CC7">
        <w:trPr>
          <w:trHeight w:val="423"/>
          <w:jc w:val="center"/>
        </w:trPr>
        <w:tc>
          <w:tcPr>
            <w:tcW w:w="1354" w:type="dxa"/>
          </w:tcPr>
          <w:p w14:paraId="20330CCC" w14:textId="77777777" w:rsidR="00C21831" w:rsidRPr="0033055B" w:rsidRDefault="00C21831" w:rsidP="00771301">
            <w:r>
              <w:t>Nga të cilat, me mekanizma bashkëpunimi</w:t>
            </w:r>
            <w:r w:rsidRPr="0033055B">
              <w:rPr>
                <w:rStyle w:val="FootnoteReference"/>
                <w:rFonts w:cstheme="minorHAnsi"/>
                <w:bCs/>
                <w:i/>
                <w:iCs/>
                <w:lang w:val="en-GB"/>
              </w:rPr>
              <w:footnoteReference w:id="14"/>
            </w:r>
            <w:r>
              <w:t xml:space="preserve"> </w:t>
            </w:r>
          </w:p>
        </w:tc>
        <w:tc>
          <w:tcPr>
            <w:tcW w:w="8426" w:type="dxa"/>
            <w:gridSpan w:val="11"/>
          </w:tcPr>
          <w:p w14:paraId="63B5AA66" w14:textId="77777777" w:rsidR="00C21831" w:rsidRDefault="00C21831" w:rsidP="00B973C7">
            <w:pPr>
              <w:jc w:val="center"/>
              <w:rPr>
                <w:rFonts w:cstheme="minorHAnsi"/>
                <w:lang w:val="en-GB"/>
              </w:rPr>
            </w:pPr>
          </w:p>
          <w:p w14:paraId="7CD9B9B0" w14:textId="44975548" w:rsidR="00C21831" w:rsidRPr="0033055B" w:rsidRDefault="00C21831" w:rsidP="00B973C7">
            <w:pPr>
              <w:jc w:val="center"/>
              <w:rPr>
                <w:rFonts w:cstheme="minorHAnsi"/>
              </w:rPr>
            </w:pPr>
            <w:r>
              <w:t>Nuk vlen</w:t>
            </w:r>
          </w:p>
        </w:tc>
        <w:tc>
          <w:tcPr>
            <w:tcW w:w="766" w:type="dxa"/>
          </w:tcPr>
          <w:p w14:paraId="740CA220" w14:textId="77777777" w:rsidR="00C21831" w:rsidRDefault="00C21831" w:rsidP="00771301">
            <w:pPr>
              <w:jc w:val="both"/>
              <w:rPr>
                <w:rFonts w:cstheme="minorHAnsi"/>
                <w:lang w:val="en-GB"/>
              </w:rPr>
            </w:pPr>
          </w:p>
          <w:p w14:paraId="47B5972A" w14:textId="23B49F16" w:rsidR="00C21831" w:rsidRPr="0033055B" w:rsidRDefault="00C21831" w:rsidP="00B973C7">
            <w:pPr>
              <w:jc w:val="center"/>
              <w:rPr>
                <w:rFonts w:cstheme="minorHAnsi"/>
              </w:rPr>
            </w:pPr>
            <w:r>
              <w:t>0</w:t>
            </w:r>
          </w:p>
        </w:tc>
      </w:tr>
      <w:tr w:rsidR="00C21831" w:rsidRPr="0033055B" w14:paraId="366611BB" w14:textId="77777777" w:rsidTr="00482CC7">
        <w:trPr>
          <w:trHeight w:val="423"/>
          <w:jc w:val="center"/>
        </w:trPr>
        <w:tc>
          <w:tcPr>
            <w:tcW w:w="1354" w:type="dxa"/>
          </w:tcPr>
          <w:p w14:paraId="4DD124EE" w14:textId="77777777" w:rsidR="00C21831" w:rsidRPr="0033055B" w:rsidRDefault="00C21831" w:rsidP="00771301">
            <w:r>
              <w:t xml:space="preserve">Suficiti për mekanizma bashkëpunimi </w:t>
            </w:r>
            <w:r>
              <w:rPr>
                <w:rStyle w:val="italic1"/>
                <w:bCs/>
                <w:vertAlign w:val="superscript"/>
              </w:rPr>
              <w:t>16</w:t>
            </w:r>
          </w:p>
        </w:tc>
        <w:tc>
          <w:tcPr>
            <w:tcW w:w="9192" w:type="dxa"/>
            <w:gridSpan w:val="12"/>
          </w:tcPr>
          <w:p w14:paraId="19495DEF" w14:textId="77777777" w:rsidR="00C21831" w:rsidRDefault="00C21831" w:rsidP="00B973C7">
            <w:pPr>
              <w:jc w:val="center"/>
              <w:rPr>
                <w:rFonts w:cstheme="minorHAnsi"/>
                <w:lang w:val="en-GB"/>
              </w:rPr>
            </w:pPr>
          </w:p>
          <w:p w14:paraId="3FA4F55F" w14:textId="6ACF1FEF" w:rsidR="00C21831" w:rsidRPr="0033055B" w:rsidRDefault="00C21831" w:rsidP="00B973C7">
            <w:pPr>
              <w:jc w:val="center"/>
              <w:rPr>
                <w:rFonts w:cstheme="minorHAnsi"/>
              </w:rPr>
            </w:pPr>
            <w:r>
              <w:t>Nuk është në dispozicion</w:t>
            </w:r>
          </w:p>
        </w:tc>
      </w:tr>
    </w:tbl>
    <w:p w14:paraId="04C31312" w14:textId="26117D05" w:rsidR="006B66E4" w:rsidRDefault="006B66E4" w:rsidP="00771301">
      <w:pPr>
        <w:spacing w:before="120" w:after="120" w:line="240" w:lineRule="auto"/>
        <w:jc w:val="both"/>
        <w:rPr>
          <w:rFonts w:cstheme="minorHAnsi"/>
          <w:lang w:val="en-GB"/>
        </w:rPr>
      </w:pPr>
    </w:p>
    <w:tbl>
      <w:tblPr>
        <w:tblStyle w:val="TableGrid"/>
        <w:tblW w:w="10139" w:type="dxa"/>
        <w:tblLook w:val="04A0" w:firstRow="1" w:lastRow="0" w:firstColumn="1" w:lastColumn="0" w:noHBand="0" w:noVBand="1"/>
      </w:tblPr>
      <w:tblGrid>
        <w:gridCol w:w="2709"/>
        <w:gridCol w:w="1346"/>
        <w:gridCol w:w="1347"/>
        <w:gridCol w:w="1346"/>
        <w:gridCol w:w="1347"/>
        <w:gridCol w:w="804"/>
        <w:gridCol w:w="1240"/>
      </w:tblGrid>
      <w:tr w:rsidR="00990B87" w:rsidRPr="0033055B" w14:paraId="68CE43F7" w14:textId="77777777" w:rsidTr="007563F9">
        <w:trPr>
          <w:trHeight w:val="498"/>
        </w:trPr>
        <w:tc>
          <w:tcPr>
            <w:tcW w:w="2709" w:type="dxa"/>
            <w:vMerge w:val="restart"/>
            <w:shd w:val="clear" w:color="auto" w:fill="D9D9D9" w:themeFill="background1" w:themeFillShade="D9"/>
          </w:tcPr>
          <w:p w14:paraId="4ABF4EBD" w14:textId="77777777" w:rsidR="00771301" w:rsidRPr="0033055B" w:rsidRDefault="00771301" w:rsidP="00244526">
            <w:pPr>
              <w:pStyle w:val="NormalWeb"/>
              <w:spacing w:before="0" w:after="0"/>
              <w:jc w:val="both"/>
              <w:rPr>
                <w:rStyle w:val="italic1"/>
                <w:rFonts w:asciiTheme="minorHAnsi" w:hAnsiTheme="minorHAnsi" w:cstheme="minorHAnsi"/>
                <w:b/>
                <w:bCs/>
                <w:i w:val="0"/>
                <w:sz w:val="22"/>
                <w:szCs w:val="22"/>
              </w:rPr>
            </w:pPr>
            <w:r>
              <w:rPr>
                <w:rStyle w:val="italic1"/>
                <w:rFonts w:asciiTheme="minorHAnsi" w:hAnsiTheme="minorHAnsi"/>
                <w:b/>
                <w:bCs/>
                <w:i w:val="0"/>
                <w:sz w:val="22"/>
                <w:szCs w:val="22"/>
              </w:rPr>
              <w:t>Pjesa B e Shtojcës I të Direktivës</w:t>
            </w:r>
          </w:p>
        </w:tc>
        <w:tc>
          <w:tcPr>
            <w:tcW w:w="1346" w:type="dxa"/>
            <w:shd w:val="clear" w:color="auto" w:fill="D9D9D9" w:themeFill="background1" w:themeFillShade="D9"/>
            <w:vAlign w:val="center"/>
          </w:tcPr>
          <w:p w14:paraId="283C8127" w14:textId="77777777" w:rsidR="00771301" w:rsidRPr="0033055B" w:rsidRDefault="00771301" w:rsidP="007563F9">
            <w:pPr>
              <w:pStyle w:val="NormalWeb"/>
              <w:spacing w:before="0" w:after="0"/>
              <w:jc w:val="center"/>
              <w:rPr>
                <w:rStyle w:val="italic1"/>
                <w:rFonts w:asciiTheme="minorHAnsi" w:hAnsiTheme="minorHAnsi" w:cstheme="minorHAnsi"/>
                <w:b/>
                <w:bCs/>
                <w:i w:val="0"/>
                <w:sz w:val="22"/>
                <w:szCs w:val="22"/>
              </w:rPr>
            </w:pPr>
            <w:r>
              <w:rPr>
                <w:rStyle w:val="italic1"/>
                <w:rFonts w:asciiTheme="minorHAnsi" w:hAnsiTheme="minorHAnsi"/>
                <w:b/>
                <w:bCs/>
                <w:i w:val="0"/>
                <w:sz w:val="22"/>
                <w:szCs w:val="22"/>
              </w:rPr>
              <w:t>2011-2012</w:t>
            </w:r>
          </w:p>
        </w:tc>
        <w:tc>
          <w:tcPr>
            <w:tcW w:w="1347" w:type="dxa"/>
            <w:shd w:val="clear" w:color="auto" w:fill="D9D9D9" w:themeFill="background1" w:themeFillShade="D9"/>
            <w:vAlign w:val="center"/>
          </w:tcPr>
          <w:p w14:paraId="34337C80" w14:textId="77777777" w:rsidR="00771301" w:rsidRPr="0033055B" w:rsidRDefault="00771301" w:rsidP="007563F9">
            <w:pPr>
              <w:pStyle w:val="NormalWeb"/>
              <w:spacing w:before="0" w:after="0"/>
              <w:jc w:val="center"/>
              <w:rPr>
                <w:rStyle w:val="italic1"/>
                <w:rFonts w:asciiTheme="minorHAnsi" w:hAnsiTheme="minorHAnsi" w:cstheme="minorHAnsi"/>
                <w:b/>
                <w:bCs/>
                <w:i w:val="0"/>
                <w:sz w:val="22"/>
                <w:szCs w:val="22"/>
              </w:rPr>
            </w:pPr>
            <w:r>
              <w:rPr>
                <w:rStyle w:val="italic1"/>
                <w:rFonts w:asciiTheme="minorHAnsi" w:hAnsiTheme="minorHAnsi"/>
                <w:b/>
                <w:bCs/>
                <w:i w:val="0"/>
                <w:sz w:val="22"/>
                <w:szCs w:val="22"/>
              </w:rPr>
              <w:t>2013-2014</w:t>
            </w:r>
          </w:p>
        </w:tc>
        <w:tc>
          <w:tcPr>
            <w:tcW w:w="1346" w:type="dxa"/>
            <w:shd w:val="clear" w:color="auto" w:fill="D9D9D9" w:themeFill="background1" w:themeFillShade="D9"/>
            <w:vAlign w:val="center"/>
          </w:tcPr>
          <w:p w14:paraId="363C1158" w14:textId="77777777" w:rsidR="00771301" w:rsidRPr="0033055B" w:rsidRDefault="00771301" w:rsidP="007563F9">
            <w:pPr>
              <w:pStyle w:val="NormalWeb"/>
              <w:spacing w:before="0" w:after="0"/>
              <w:jc w:val="center"/>
              <w:rPr>
                <w:rStyle w:val="italic1"/>
                <w:rFonts w:asciiTheme="minorHAnsi" w:hAnsiTheme="minorHAnsi" w:cstheme="minorHAnsi"/>
                <w:b/>
                <w:bCs/>
                <w:i w:val="0"/>
                <w:sz w:val="22"/>
                <w:szCs w:val="22"/>
              </w:rPr>
            </w:pPr>
            <w:r>
              <w:rPr>
                <w:rStyle w:val="italic1"/>
                <w:rFonts w:asciiTheme="minorHAnsi" w:hAnsiTheme="minorHAnsi"/>
                <w:b/>
                <w:bCs/>
                <w:i w:val="0"/>
                <w:sz w:val="22"/>
                <w:szCs w:val="22"/>
              </w:rPr>
              <w:t>2015-2016</w:t>
            </w:r>
          </w:p>
        </w:tc>
        <w:tc>
          <w:tcPr>
            <w:tcW w:w="1347" w:type="dxa"/>
            <w:shd w:val="clear" w:color="auto" w:fill="D9D9D9" w:themeFill="background1" w:themeFillShade="D9"/>
            <w:vAlign w:val="center"/>
          </w:tcPr>
          <w:p w14:paraId="39722473" w14:textId="77777777" w:rsidR="00771301" w:rsidRPr="0033055B" w:rsidRDefault="00771301" w:rsidP="007563F9">
            <w:pPr>
              <w:pStyle w:val="NormalWeb"/>
              <w:spacing w:before="0" w:after="0"/>
              <w:jc w:val="center"/>
              <w:rPr>
                <w:rStyle w:val="italic1"/>
                <w:rFonts w:asciiTheme="minorHAnsi" w:hAnsiTheme="minorHAnsi" w:cstheme="minorHAnsi"/>
                <w:b/>
                <w:bCs/>
                <w:i w:val="0"/>
                <w:sz w:val="22"/>
                <w:szCs w:val="22"/>
              </w:rPr>
            </w:pPr>
            <w:r>
              <w:rPr>
                <w:rStyle w:val="italic1"/>
                <w:rFonts w:asciiTheme="minorHAnsi" w:hAnsiTheme="minorHAnsi"/>
                <w:b/>
                <w:bCs/>
                <w:i w:val="0"/>
                <w:sz w:val="22"/>
                <w:szCs w:val="22"/>
              </w:rPr>
              <w:t>2017-2018</w:t>
            </w:r>
          </w:p>
        </w:tc>
        <w:tc>
          <w:tcPr>
            <w:tcW w:w="804" w:type="dxa"/>
            <w:shd w:val="clear" w:color="auto" w:fill="D9D9D9" w:themeFill="background1" w:themeFillShade="D9"/>
            <w:vAlign w:val="center"/>
          </w:tcPr>
          <w:p w14:paraId="6AED348E" w14:textId="77777777" w:rsidR="00771301" w:rsidRPr="0033055B" w:rsidRDefault="00771301" w:rsidP="007563F9">
            <w:pPr>
              <w:jc w:val="center"/>
              <w:rPr>
                <w:rFonts w:cstheme="minorHAnsi"/>
                <w:b/>
                <w:lang w:val="en-GB"/>
              </w:rPr>
            </w:pPr>
          </w:p>
        </w:tc>
        <w:tc>
          <w:tcPr>
            <w:tcW w:w="1240" w:type="dxa"/>
            <w:shd w:val="clear" w:color="auto" w:fill="D9D9D9" w:themeFill="background1" w:themeFillShade="D9"/>
            <w:vAlign w:val="center"/>
          </w:tcPr>
          <w:p w14:paraId="29061131" w14:textId="77777777" w:rsidR="00771301" w:rsidRPr="0033055B" w:rsidRDefault="00771301" w:rsidP="007563F9">
            <w:pPr>
              <w:pStyle w:val="NormalWeb"/>
              <w:spacing w:before="0" w:after="0"/>
              <w:jc w:val="center"/>
              <w:rPr>
                <w:rStyle w:val="italic1"/>
                <w:rFonts w:asciiTheme="minorHAnsi" w:eastAsiaTheme="minorHAnsi" w:hAnsiTheme="minorHAnsi" w:cstheme="minorHAnsi"/>
                <w:b/>
                <w:bCs/>
                <w:i w:val="0"/>
                <w:sz w:val="22"/>
                <w:szCs w:val="22"/>
              </w:rPr>
            </w:pPr>
            <w:r>
              <w:rPr>
                <w:rStyle w:val="italic1"/>
                <w:rFonts w:asciiTheme="minorHAnsi" w:hAnsiTheme="minorHAnsi"/>
                <w:b/>
                <w:bCs/>
                <w:i w:val="0"/>
                <w:sz w:val="22"/>
                <w:szCs w:val="22"/>
              </w:rPr>
              <w:t>2020</w:t>
            </w:r>
          </w:p>
        </w:tc>
      </w:tr>
      <w:tr w:rsidR="00990B87" w:rsidRPr="0033055B" w14:paraId="48C4E571" w14:textId="77777777" w:rsidTr="007563F9">
        <w:trPr>
          <w:trHeight w:val="93"/>
        </w:trPr>
        <w:tc>
          <w:tcPr>
            <w:tcW w:w="2709" w:type="dxa"/>
            <w:vMerge/>
            <w:shd w:val="clear" w:color="auto" w:fill="D9D9D9" w:themeFill="background1" w:themeFillShade="D9"/>
          </w:tcPr>
          <w:p w14:paraId="4C12394A" w14:textId="77777777" w:rsidR="00771301" w:rsidRPr="0033055B" w:rsidRDefault="00771301" w:rsidP="00244526">
            <w:pPr>
              <w:pStyle w:val="NormalWeb"/>
              <w:spacing w:before="0" w:after="0"/>
              <w:jc w:val="both"/>
              <w:rPr>
                <w:rStyle w:val="italic1"/>
                <w:rFonts w:asciiTheme="minorHAnsi" w:hAnsiTheme="minorHAnsi" w:cstheme="minorHAnsi"/>
                <w:b/>
                <w:bCs/>
                <w:i w:val="0"/>
                <w:sz w:val="22"/>
                <w:szCs w:val="22"/>
              </w:rPr>
            </w:pPr>
          </w:p>
        </w:tc>
        <w:tc>
          <w:tcPr>
            <w:tcW w:w="1346" w:type="dxa"/>
            <w:shd w:val="clear" w:color="auto" w:fill="D9D9D9" w:themeFill="background1" w:themeFillShade="D9"/>
          </w:tcPr>
          <w:p w14:paraId="722CAE90" w14:textId="77777777" w:rsidR="00771301" w:rsidRPr="0033055B" w:rsidRDefault="00044796" w:rsidP="00244526">
            <w:pPr>
              <w:pStyle w:val="NormalWeb"/>
              <w:spacing w:before="0" w:after="0"/>
              <w:jc w:val="both"/>
              <w:rPr>
                <w:rStyle w:val="italic1"/>
                <w:rFonts w:asciiTheme="minorHAnsi" w:hAnsiTheme="minorHAnsi" w:cstheme="minorHAnsi"/>
                <w:b/>
                <w:bCs/>
                <w:i w:val="0"/>
                <w:sz w:val="22"/>
                <w:szCs w:val="22"/>
              </w:rPr>
            </w:pPr>
            <w:r>
              <w:rPr>
                <w:rStyle w:val="italic1"/>
                <w:rFonts w:asciiTheme="minorHAnsi" w:hAnsiTheme="minorHAnsi"/>
                <w:b/>
                <w:bCs/>
                <w:i w:val="0"/>
                <w:sz w:val="22"/>
                <w:szCs w:val="22"/>
              </w:rPr>
              <w:t>S</w:t>
            </w:r>
            <w:r>
              <w:rPr>
                <w:rStyle w:val="italic1"/>
                <w:rFonts w:asciiTheme="minorHAnsi" w:hAnsiTheme="minorHAnsi"/>
                <w:b/>
                <w:bCs/>
                <w:i w:val="0"/>
                <w:sz w:val="22"/>
                <w:szCs w:val="22"/>
                <w:vertAlign w:val="subscript"/>
              </w:rPr>
              <w:t>2009</w:t>
            </w:r>
            <w:r>
              <w:rPr>
                <w:rStyle w:val="italic1"/>
                <w:rFonts w:asciiTheme="minorHAnsi" w:hAnsiTheme="minorHAnsi"/>
                <w:b/>
                <w:bCs/>
                <w:i w:val="0"/>
                <w:sz w:val="22"/>
                <w:szCs w:val="22"/>
              </w:rPr>
              <w:t>+20%</w:t>
            </w:r>
          </w:p>
          <w:p w14:paraId="3731AC9F" w14:textId="77777777" w:rsidR="00771301" w:rsidRPr="0033055B" w:rsidRDefault="00771301" w:rsidP="00244526">
            <w:pPr>
              <w:pStyle w:val="NormalWeb"/>
              <w:spacing w:before="0" w:after="0"/>
              <w:jc w:val="both"/>
              <w:rPr>
                <w:rStyle w:val="italic1"/>
                <w:rFonts w:asciiTheme="minorHAnsi" w:hAnsiTheme="minorHAnsi" w:cstheme="minorHAnsi"/>
                <w:b/>
                <w:bCs/>
                <w:i w:val="0"/>
                <w:sz w:val="22"/>
                <w:szCs w:val="22"/>
              </w:rPr>
            </w:pPr>
            <w:r>
              <w:rPr>
                <w:rStyle w:val="italic1"/>
                <w:rFonts w:asciiTheme="minorHAnsi" w:hAnsiTheme="minorHAnsi"/>
                <w:b/>
                <w:bCs/>
                <w:i w:val="0"/>
                <w:sz w:val="22"/>
                <w:szCs w:val="22"/>
              </w:rPr>
              <w:t>(S</w:t>
            </w:r>
            <w:r>
              <w:rPr>
                <w:rStyle w:val="italic1"/>
                <w:rFonts w:asciiTheme="minorHAnsi" w:hAnsiTheme="minorHAnsi"/>
                <w:b/>
                <w:bCs/>
                <w:i w:val="0"/>
                <w:sz w:val="22"/>
                <w:szCs w:val="22"/>
                <w:vertAlign w:val="subscript"/>
              </w:rPr>
              <w:t>2020</w:t>
            </w:r>
            <w:r>
              <w:rPr>
                <w:rStyle w:val="italic1"/>
                <w:rFonts w:asciiTheme="minorHAnsi" w:hAnsiTheme="minorHAnsi"/>
                <w:b/>
                <w:bCs/>
                <w:i w:val="0"/>
                <w:sz w:val="22"/>
                <w:szCs w:val="22"/>
              </w:rPr>
              <w:t>-S</w:t>
            </w:r>
            <w:r>
              <w:rPr>
                <w:rStyle w:val="italic1"/>
                <w:rFonts w:asciiTheme="minorHAnsi" w:hAnsiTheme="minorHAnsi"/>
                <w:b/>
                <w:bCs/>
                <w:i w:val="0"/>
                <w:sz w:val="22"/>
                <w:szCs w:val="22"/>
                <w:vertAlign w:val="subscript"/>
              </w:rPr>
              <w:t>2009</w:t>
            </w:r>
            <w:r>
              <w:rPr>
                <w:rStyle w:val="italic1"/>
                <w:rFonts w:asciiTheme="minorHAnsi" w:hAnsiTheme="minorHAnsi"/>
                <w:b/>
                <w:bCs/>
                <w:i w:val="0"/>
                <w:sz w:val="22"/>
                <w:szCs w:val="22"/>
              </w:rPr>
              <w:t>)</w:t>
            </w:r>
          </w:p>
        </w:tc>
        <w:tc>
          <w:tcPr>
            <w:tcW w:w="1347" w:type="dxa"/>
            <w:shd w:val="clear" w:color="auto" w:fill="D9D9D9" w:themeFill="background1" w:themeFillShade="D9"/>
          </w:tcPr>
          <w:p w14:paraId="07B80F3B" w14:textId="77777777" w:rsidR="00771301" w:rsidRPr="0033055B" w:rsidRDefault="00044796" w:rsidP="00244526">
            <w:pPr>
              <w:pStyle w:val="NormalWeb"/>
              <w:spacing w:before="0" w:after="0"/>
              <w:jc w:val="both"/>
              <w:rPr>
                <w:rStyle w:val="italic1"/>
                <w:rFonts w:asciiTheme="minorHAnsi" w:hAnsiTheme="minorHAnsi" w:cstheme="minorHAnsi"/>
                <w:b/>
                <w:bCs/>
                <w:i w:val="0"/>
                <w:sz w:val="22"/>
                <w:szCs w:val="22"/>
              </w:rPr>
            </w:pPr>
            <w:r>
              <w:rPr>
                <w:rStyle w:val="italic1"/>
                <w:rFonts w:asciiTheme="minorHAnsi" w:hAnsiTheme="minorHAnsi"/>
                <w:b/>
                <w:bCs/>
                <w:i w:val="0"/>
                <w:sz w:val="22"/>
                <w:szCs w:val="22"/>
              </w:rPr>
              <w:t>S</w:t>
            </w:r>
            <w:r>
              <w:rPr>
                <w:rStyle w:val="italic1"/>
                <w:rFonts w:asciiTheme="minorHAnsi" w:hAnsiTheme="minorHAnsi"/>
                <w:b/>
                <w:bCs/>
                <w:i w:val="0"/>
                <w:sz w:val="22"/>
                <w:szCs w:val="22"/>
                <w:vertAlign w:val="subscript"/>
              </w:rPr>
              <w:t>2009</w:t>
            </w:r>
            <w:r>
              <w:rPr>
                <w:rStyle w:val="italic1"/>
                <w:rFonts w:asciiTheme="minorHAnsi" w:hAnsiTheme="minorHAnsi"/>
                <w:b/>
                <w:bCs/>
                <w:i w:val="0"/>
                <w:sz w:val="22"/>
                <w:szCs w:val="22"/>
              </w:rPr>
              <w:t xml:space="preserve"> +30%</w:t>
            </w:r>
          </w:p>
          <w:p w14:paraId="3B2CF824" w14:textId="77777777" w:rsidR="00771301" w:rsidRPr="0033055B" w:rsidRDefault="00771301" w:rsidP="00244526">
            <w:pPr>
              <w:pStyle w:val="NormalWeb"/>
              <w:spacing w:before="0" w:after="0"/>
              <w:jc w:val="both"/>
              <w:rPr>
                <w:rStyle w:val="italic1"/>
                <w:rFonts w:asciiTheme="minorHAnsi" w:hAnsiTheme="minorHAnsi" w:cstheme="minorHAnsi"/>
                <w:b/>
                <w:bCs/>
                <w:i w:val="0"/>
                <w:sz w:val="22"/>
                <w:szCs w:val="22"/>
              </w:rPr>
            </w:pPr>
            <w:r>
              <w:rPr>
                <w:rStyle w:val="italic1"/>
                <w:rFonts w:asciiTheme="minorHAnsi" w:hAnsiTheme="minorHAnsi"/>
                <w:b/>
                <w:bCs/>
                <w:i w:val="0"/>
                <w:sz w:val="22"/>
                <w:szCs w:val="22"/>
              </w:rPr>
              <w:t>(S</w:t>
            </w:r>
            <w:r>
              <w:rPr>
                <w:rStyle w:val="italic1"/>
                <w:rFonts w:asciiTheme="minorHAnsi" w:hAnsiTheme="minorHAnsi"/>
                <w:b/>
                <w:bCs/>
                <w:i w:val="0"/>
                <w:sz w:val="22"/>
                <w:szCs w:val="22"/>
                <w:vertAlign w:val="subscript"/>
              </w:rPr>
              <w:t>2020</w:t>
            </w:r>
            <w:r>
              <w:rPr>
                <w:rStyle w:val="italic1"/>
                <w:rFonts w:asciiTheme="minorHAnsi" w:hAnsiTheme="minorHAnsi"/>
                <w:b/>
                <w:bCs/>
                <w:i w:val="0"/>
                <w:sz w:val="22"/>
                <w:szCs w:val="22"/>
              </w:rPr>
              <w:t>-S</w:t>
            </w:r>
            <w:r>
              <w:rPr>
                <w:rStyle w:val="italic1"/>
                <w:rFonts w:asciiTheme="minorHAnsi" w:hAnsiTheme="minorHAnsi"/>
                <w:b/>
                <w:bCs/>
                <w:i w:val="0"/>
                <w:sz w:val="22"/>
                <w:szCs w:val="22"/>
                <w:vertAlign w:val="subscript"/>
              </w:rPr>
              <w:t>2009</w:t>
            </w:r>
            <w:r>
              <w:rPr>
                <w:rStyle w:val="italic1"/>
                <w:rFonts w:asciiTheme="minorHAnsi" w:hAnsiTheme="minorHAnsi"/>
                <w:b/>
                <w:bCs/>
                <w:i w:val="0"/>
                <w:sz w:val="22"/>
                <w:szCs w:val="22"/>
              </w:rPr>
              <w:t>)</w:t>
            </w:r>
          </w:p>
        </w:tc>
        <w:tc>
          <w:tcPr>
            <w:tcW w:w="1346" w:type="dxa"/>
            <w:shd w:val="clear" w:color="auto" w:fill="D9D9D9" w:themeFill="background1" w:themeFillShade="D9"/>
          </w:tcPr>
          <w:p w14:paraId="47384F46" w14:textId="77777777" w:rsidR="00771301" w:rsidRPr="0033055B" w:rsidRDefault="00044796" w:rsidP="00244526">
            <w:pPr>
              <w:pStyle w:val="NormalWeb"/>
              <w:spacing w:before="0" w:after="0"/>
              <w:jc w:val="both"/>
              <w:rPr>
                <w:rStyle w:val="italic1"/>
                <w:rFonts w:asciiTheme="minorHAnsi" w:hAnsiTheme="minorHAnsi" w:cstheme="minorHAnsi"/>
                <w:b/>
                <w:bCs/>
                <w:i w:val="0"/>
                <w:sz w:val="22"/>
                <w:szCs w:val="22"/>
              </w:rPr>
            </w:pPr>
            <w:r>
              <w:rPr>
                <w:rStyle w:val="italic1"/>
                <w:rFonts w:asciiTheme="minorHAnsi" w:hAnsiTheme="minorHAnsi"/>
                <w:b/>
                <w:bCs/>
                <w:i w:val="0"/>
                <w:sz w:val="22"/>
                <w:szCs w:val="22"/>
              </w:rPr>
              <w:t>S</w:t>
            </w:r>
            <w:r>
              <w:rPr>
                <w:rStyle w:val="italic1"/>
                <w:rFonts w:asciiTheme="minorHAnsi" w:hAnsiTheme="minorHAnsi"/>
                <w:b/>
                <w:bCs/>
                <w:i w:val="0"/>
                <w:sz w:val="22"/>
                <w:szCs w:val="22"/>
                <w:vertAlign w:val="subscript"/>
              </w:rPr>
              <w:t>2009</w:t>
            </w:r>
            <w:r>
              <w:rPr>
                <w:rStyle w:val="italic1"/>
                <w:rFonts w:asciiTheme="minorHAnsi" w:hAnsiTheme="minorHAnsi"/>
                <w:b/>
                <w:bCs/>
                <w:i w:val="0"/>
                <w:sz w:val="22"/>
                <w:szCs w:val="22"/>
              </w:rPr>
              <w:t xml:space="preserve"> + 45%</w:t>
            </w:r>
          </w:p>
          <w:p w14:paraId="5646143C" w14:textId="77777777" w:rsidR="00771301" w:rsidRPr="0033055B" w:rsidRDefault="00771301" w:rsidP="00244526">
            <w:pPr>
              <w:pStyle w:val="NormalWeb"/>
              <w:spacing w:before="0" w:after="0"/>
              <w:jc w:val="both"/>
              <w:rPr>
                <w:rStyle w:val="italic1"/>
                <w:rFonts w:asciiTheme="minorHAnsi" w:hAnsiTheme="minorHAnsi" w:cstheme="minorHAnsi"/>
                <w:b/>
                <w:bCs/>
                <w:i w:val="0"/>
                <w:sz w:val="22"/>
                <w:szCs w:val="22"/>
              </w:rPr>
            </w:pPr>
            <w:r>
              <w:rPr>
                <w:rStyle w:val="italic1"/>
                <w:rFonts w:asciiTheme="minorHAnsi" w:hAnsiTheme="minorHAnsi"/>
                <w:b/>
                <w:bCs/>
                <w:i w:val="0"/>
                <w:sz w:val="22"/>
                <w:szCs w:val="22"/>
              </w:rPr>
              <w:t>(S</w:t>
            </w:r>
            <w:r>
              <w:rPr>
                <w:rStyle w:val="italic1"/>
                <w:rFonts w:asciiTheme="minorHAnsi" w:hAnsiTheme="minorHAnsi"/>
                <w:b/>
                <w:bCs/>
                <w:i w:val="0"/>
                <w:sz w:val="22"/>
                <w:szCs w:val="22"/>
                <w:vertAlign w:val="subscript"/>
              </w:rPr>
              <w:t>2020</w:t>
            </w:r>
            <w:r>
              <w:rPr>
                <w:rStyle w:val="italic1"/>
                <w:rFonts w:asciiTheme="minorHAnsi" w:hAnsiTheme="minorHAnsi"/>
                <w:b/>
                <w:bCs/>
                <w:i w:val="0"/>
                <w:sz w:val="22"/>
                <w:szCs w:val="22"/>
              </w:rPr>
              <w:t>-S</w:t>
            </w:r>
            <w:r>
              <w:rPr>
                <w:rStyle w:val="italic1"/>
                <w:rFonts w:asciiTheme="minorHAnsi" w:hAnsiTheme="minorHAnsi"/>
                <w:b/>
                <w:bCs/>
                <w:i w:val="0"/>
                <w:sz w:val="22"/>
                <w:szCs w:val="22"/>
                <w:vertAlign w:val="subscript"/>
              </w:rPr>
              <w:t>2009</w:t>
            </w:r>
            <w:r>
              <w:rPr>
                <w:rStyle w:val="italic1"/>
                <w:rFonts w:asciiTheme="minorHAnsi" w:hAnsiTheme="minorHAnsi"/>
                <w:b/>
                <w:bCs/>
                <w:i w:val="0"/>
                <w:sz w:val="22"/>
                <w:szCs w:val="22"/>
              </w:rPr>
              <w:t>)</w:t>
            </w:r>
          </w:p>
        </w:tc>
        <w:tc>
          <w:tcPr>
            <w:tcW w:w="1347" w:type="dxa"/>
            <w:shd w:val="clear" w:color="auto" w:fill="D9D9D9" w:themeFill="background1" w:themeFillShade="D9"/>
          </w:tcPr>
          <w:p w14:paraId="59831989" w14:textId="77777777" w:rsidR="00771301" w:rsidRPr="0033055B" w:rsidRDefault="00044796" w:rsidP="00244526">
            <w:pPr>
              <w:pStyle w:val="NormalWeb"/>
              <w:spacing w:before="0" w:after="0"/>
              <w:jc w:val="both"/>
              <w:rPr>
                <w:rStyle w:val="italic1"/>
                <w:rFonts w:asciiTheme="minorHAnsi" w:hAnsiTheme="minorHAnsi" w:cstheme="minorHAnsi"/>
                <w:b/>
                <w:bCs/>
                <w:i w:val="0"/>
                <w:sz w:val="22"/>
                <w:szCs w:val="22"/>
              </w:rPr>
            </w:pPr>
            <w:r>
              <w:rPr>
                <w:rStyle w:val="italic1"/>
                <w:rFonts w:asciiTheme="minorHAnsi" w:hAnsiTheme="minorHAnsi"/>
                <w:b/>
                <w:bCs/>
                <w:i w:val="0"/>
                <w:sz w:val="22"/>
                <w:szCs w:val="22"/>
              </w:rPr>
              <w:t>S</w:t>
            </w:r>
            <w:r>
              <w:rPr>
                <w:rStyle w:val="italic1"/>
                <w:rFonts w:asciiTheme="minorHAnsi" w:hAnsiTheme="minorHAnsi"/>
                <w:b/>
                <w:bCs/>
                <w:i w:val="0"/>
                <w:sz w:val="22"/>
                <w:szCs w:val="22"/>
                <w:vertAlign w:val="subscript"/>
              </w:rPr>
              <w:t>2009</w:t>
            </w:r>
            <w:r>
              <w:rPr>
                <w:rStyle w:val="italic1"/>
                <w:rFonts w:asciiTheme="minorHAnsi" w:hAnsiTheme="minorHAnsi"/>
                <w:b/>
                <w:bCs/>
                <w:i w:val="0"/>
                <w:sz w:val="22"/>
                <w:szCs w:val="22"/>
              </w:rPr>
              <w:t xml:space="preserve"> +65%</w:t>
            </w:r>
          </w:p>
          <w:p w14:paraId="15779183" w14:textId="77777777" w:rsidR="00771301" w:rsidRPr="0033055B" w:rsidRDefault="00771301" w:rsidP="00244526">
            <w:pPr>
              <w:pStyle w:val="NormalWeb"/>
              <w:spacing w:before="0" w:after="0"/>
              <w:jc w:val="both"/>
              <w:rPr>
                <w:rStyle w:val="italic1"/>
                <w:rFonts w:asciiTheme="minorHAnsi" w:hAnsiTheme="minorHAnsi" w:cstheme="minorHAnsi"/>
                <w:b/>
                <w:bCs/>
                <w:i w:val="0"/>
                <w:sz w:val="22"/>
                <w:szCs w:val="22"/>
              </w:rPr>
            </w:pPr>
            <w:r>
              <w:rPr>
                <w:rStyle w:val="italic1"/>
                <w:rFonts w:asciiTheme="minorHAnsi" w:hAnsiTheme="minorHAnsi"/>
                <w:b/>
                <w:bCs/>
                <w:i w:val="0"/>
                <w:sz w:val="22"/>
                <w:szCs w:val="22"/>
              </w:rPr>
              <w:t>(S</w:t>
            </w:r>
            <w:r>
              <w:rPr>
                <w:rStyle w:val="italic1"/>
                <w:rFonts w:asciiTheme="minorHAnsi" w:hAnsiTheme="minorHAnsi"/>
                <w:b/>
                <w:bCs/>
                <w:i w:val="0"/>
                <w:sz w:val="22"/>
                <w:szCs w:val="22"/>
                <w:vertAlign w:val="subscript"/>
              </w:rPr>
              <w:t>2020</w:t>
            </w:r>
            <w:r>
              <w:rPr>
                <w:rStyle w:val="italic1"/>
                <w:rFonts w:asciiTheme="minorHAnsi" w:hAnsiTheme="minorHAnsi"/>
                <w:b/>
                <w:bCs/>
                <w:i w:val="0"/>
                <w:sz w:val="22"/>
                <w:szCs w:val="22"/>
              </w:rPr>
              <w:t>-S</w:t>
            </w:r>
            <w:r>
              <w:rPr>
                <w:rStyle w:val="italic1"/>
                <w:rFonts w:asciiTheme="minorHAnsi" w:hAnsiTheme="minorHAnsi"/>
                <w:b/>
                <w:bCs/>
                <w:i w:val="0"/>
                <w:sz w:val="22"/>
                <w:szCs w:val="22"/>
                <w:vertAlign w:val="subscript"/>
              </w:rPr>
              <w:t>2009</w:t>
            </w:r>
            <w:r>
              <w:rPr>
                <w:rStyle w:val="italic1"/>
                <w:rFonts w:asciiTheme="minorHAnsi" w:hAnsiTheme="minorHAnsi"/>
                <w:b/>
                <w:bCs/>
                <w:i w:val="0"/>
                <w:sz w:val="22"/>
                <w:szCs w:val="22"/>
              </w:rPr>
              <w:t>)</w:t>
            </w:r>
          </w:p>
        </w:tc>
        <w:tc>
          <w:tcPr>
            <w:tcW w:w="804" w:type="dxa"/>
            <w:shd w:val="clear" w:color="auto" w:fill="D9D9D9" w:themeFill="background1" w:themeFillShade="D9"/>
          </w:tcPr>
          <w:p w14:paraId="271601EB" w14:textId="77777777" w:rsidR="00771301" w:rsidRPr="0033055B" w:rsidRDefault="00771301" w:rsidP="00244526">
            <w:pPr>
              <w:pStyle w:val="NormalWeb"/>
              <w:spacing w:before="0" w:after="0"/>
              <w:jc w:val="both"/>
              <w:rPr>
                <w:rStyle w:val="italic1"/>
                <w:rFonts w:asciiTheme="minorHAnsi" w:hAnsiTheme="minorHAnsi" w:cstheme="minorHAnsi"/>
                <w:b/>
                <w:bCs/>
                <w:i w:val="0"/>
                <w:sz w:val="22"/>
                <w:szCs w:val="22"/>
              </w:rPr>
            </w:pPr>
          </w:p>
        </w:tc>
        <w:tc>
          <w:tcPr>
            <w:tcW w:w="1240" w:type="dxa"/>
            <w:shd w:val="clear" w:color="auto" w:fill="D9D9D9" w:themeFill="background1" w:themeFillShade="D9"/>
          </w:tcPr>
          <w:p w14:paraId="1254581C" w14:textId="77777777" w:rsidR="00771301" w:rsidRPr="0033055B" w:rsidRDefault="00771301" w:rsidP="00244526">
            <w:pPr>
              <w:pStyle w:val="NormalWeb"/>
              <w:spacing w:before="0" w:after="0"/>
              <w:jc w:val="both"/>
              <w:rPr>
                <w:rStyle w:val="italic1"/>
                <w:rFonts w:asciiTheme="minorHAnsi" w:hAnsiTheme="minorHAnsi" w:cstheme="minorHAnsi"/>
                <w:b/>
                <w:bCs/>
                <w:i w:val="0"/>
                <w:sz w:val="22"/>
                <w:szCs w:val="22"/>
              </w:rPr>
            </w:pPr>
            <w:r>
              <w:rPr>
                <w:rStyle w:val="italic1"/>
                <w:rFonts w:asciiTheme="minorHAnsi" w:hAnsiTheme="minorHAnsi"/>
                <w:b/>
                <w:bCs/>
                <w:i w:val="0"/>
                <w:sz w:val="22"/>
                <w:szCs w:val="22"/>
              </w:rPr>
              <w:t>S</w:t>
            </w:r>
            <w:r>
              <w:rPr>
                <w:rStyle w:val="italic1"/>
                <w:rFonts w:asciiTheme="minorHAnsi" w:hAnsiTheme="minorHAnsi"/>
                <w:b/>
                <w:bCs/>
                <w:i w:val="0"/>
                <w:sz w:val="22"/>
                <w:szCs w:val="22"/>
                <w:vertAlign w:val="subscript"/>
              </w:rPr>
              <w:t>2020</w:t>
            </w:r>
          </w:p>
        </w:tc>
      </w:tr>
      <w:tr w:rsidR="00771301" w:rsidRPr="0033055B" w14:paraId="5B5194CC" w14:textId="77777777" w:rsidTr="007563F9">
        <w:trPr>
          <w:trHeight w:val="66"/>
        </w:trPr>
        <w:tc>
          <w:tcPr>
            <w:tcW w:w="2709" w:type="dxa"/>
          </w:tcPr>
          <w:p w14:paraId="44A2ED87" w14:textId="77777777" w:rsidR="00771301" w:rsidRPr="0033055B" w:rsidRDefault="00771301" w:rsidP="00244526">
            <w:pPr>
              <w:pStyle w:val="NormalWeb"/>
              <w:spacing w:before="0" w:after="0"/>
              <w:jc w:val="both"/>
              <w:rPr>
                <w:rStyle w:val="italic1"/>
                <w:rFonts w:asciiTheme="minorHAnsi" w:hAnsiTheme="minorHAnsi" w:cstheme="minorHAnsi"/>
                <w:bCs/>
                <w:i w:val="0"/>
                <w:sz w:val="22"/>
                <w:szCs w:val="22"/>
              </w:rPr>
            </w:pPr>
            <w:r>
              <w:rPr>
                <w:rStyle w:val="italic1"/>
                <w:rFonts w:asciiTheme="minorHAnsi" w:hAnsiTheme="minorHAnsi"/>
                <w:bCs/>
                <w:i w:val="0"/>
                <w:sz w:val="22"/>
                <w:szCs w:val="22"/>
              </w:rPr>
              <w:t xml:space="preserve">Trajektorja minimale BRE </w:t>
            </w:r>
            <w:r w:rsidRPr="0033055B">
              <w:rPr>
                <w:rStyle w:val="FootnoteReference"/>
                <w:rFonts w:asciiTheme="minorHAnsi" w:hAnsiTheme="minorHAnsi" w:cstheme="minorHAnsi"/>
                <w:bCs/>
                <w:iCs/>
                <w:sz w:val="22"/>
                <w:szCs w:val="22"/>
              </w:rPr>
              <w:footnoteReference w:id="15"/>
            </w:r>
            <w:r>
              <w:rPr>
                <w:rStyle w:val="italic1"/>
                <w:rFonts w:asciiTheme="minorHAnsi" w:hAnsiTheme="minorHAnsi"/>
                <w:bCs/>
                <w:i w:val="0"/>
                <w:sz w:val="22"/>
                <w:szCs w:val="22"/>
              </w:rPr>
              <w:t xml:space="preserve"> %</w:t>
            </w:r>
          </w:p>
        </w:tc>
        <w:tc>
          <w:tcPr>
            <w:tcW w:w="1346" w:type="dxa"/>
            <w:vAlign w:val="center"/>
          </w:tcPr>
          <w:p w14:paraId="397F26D7" w14:textId="77777777" w:rsidR="00771301" w:rsidRPr="0033055B" w:rsidRDefault="007A79A9" w:rsidP="007A79A9">
            <w:pPr>
              <w:jc w:val="center"/>
              <w:rPr>
                <w:rFonts w:cstheme="minorHAnsi"/>
              </w:rPr>
            </w:pPr>
            <w:r>
              <w:t>19.2%</w:t>
            </w:r>
          </w:p>
        </w:tc>
        <w:tc>
          <w:tcPr>
            <w:tcW w:w="1347" w:type="dxa"/>
            <w:vAlign w:val="center"/>
          </w:tcPr>
          <w:p w14:paraId="5E01D4EE" w14:textId="77777777" w:rsidR="00771301" w:rsidRPr="0033055B" w:rsidRDefault="007A79A9" w:rsidP="007A79A9">
            <w:pPr>
              <w:jc w:val="center"/>
              <w:rPr>
                <w:rFonts w:cstheme="minorHAnsi"/>
              </w:rPr>
            </w:pPr>
            <w:r>
              <w:t>19.9%</w:t>
            </w:r>
          </w:p>
        </w:tc>
        <w:tc>
          <w:tcPr>
            <w:tcW w:w="1346" w:type="dxa"/>
            <w:vAlign w:val="center"/>
          </w:tcPr>
          <w:p w14:paraId="07528B9A" w14:textId="77777777" w:rsidR="00771301" w:rsidRPr="0033055B" w:rsidRDefault="007A79A9" w:rsidP="007A79A9">
            <w:pPr>
              <w:jc w:val="center"/>
              <w:rPr>
                <w:rFonts w:cstheme="minorHAnsi"/>
              </w:rPr>
            </w:pPr>
            <w:r>
              <w:t>21%</w:t>
            </w:r>
          </w:p>
        </w:tc>
        <w:tc>
          <w:tcPr>
            <w:tcW w:w="1347" w:type="dxa"/>
            <w:vAlign w:val="center"/>
          </w:tcPr>
          <w:p w14:paraId="04C23DF5" w14:textId="77777777" w:rsidR="00771301" w:rsidRPr="0033055B" w:rsidRDefault="007A79A9" w:rsidP="007A79A9">
            <w:pPr>
              <w:jc w:val="center"/>
              <w:rPr>
                <w:rFonts w:cstheme="minorHAnsi"/>
              </w:rPr>
            </w:pPr>
            <w:r>
              <w:t>22,5%</w:t>
            </w:r>
          </w:p>
        </w:tc>
        <w:tc>
          <w:tcPr>
            <w:tcW w:w="804" w:type="dxa"/>
            <w:vAlign w:val="center"/>
          </w:tcPr>
          <w:p w14:paraId="2ACF9D86" w14:textId="77777777" w:rsidR="00771301" w:rsidRPr="0033055B" w:rsidRDefault="00771301" w:rsidP="007A79A9">
            <w:pPr>
              <w:jc w:val="center"/>
              <w:rPr>
                <w:rFonts w:cstheme="minorHAnsi"/>
                <w:lang w:val="en-GB"/>
              </w:rPr>
            </w:pPr>
          </w:p>
        </w:tc>
        <w:tc>
          <w:tcPr>
            <w:tcW w:w="1240" w:type="dxa"/>
            <w:vAlign w:val="center"/>
          </w:tcPr>
          <w:p w14:paraId="79DAD606" w14:textId="77777777" w:rsidR="00771301" w:rsidRPr="0033055B" w:rsidRDefault="007A79A9" w:rsidP="007A79A9">
            <w:pPr>
              <w:jc w:val="center"/>
              <w:rPr>
                <w:rFonts w:cstheme="minorHAnsi"/>
              </w:rPr>
            </w:pPr>
            <w:r>
              <w:t>25%</w:t>
            </w:r>
          </w:p>
        </w:tc>
      </w:tr>
      <w:tr w:rsidR="00771301" w:rsidRPr="0033055B" w14:paraId="42BCCD08" w14:textId="77777777" w:rsidTr="007563F9">
        <w:trPr>
          <w:trHeight w:val="229"/>
        </w:trPr>
        <w:tc>
          <w:tcPr>
            <w:tcW w:w="2709" w:type="dxa"/>
          </w:tcPr>
          <w:p w14:paraId="63C6303F" w14:textId="77777777" w:rsidR="00771301" w:rsidRPr="0033055B" w:rsidRDefault="00771301" w:rsidP="00244526">
            <w:pPr>
              <w:pStyle w:val="NormalWeb"/>
              <w:spacing w:before="0" w:after="0"/>
              <w:jc w:val="both"/>
              <w:rPr>
                <w:rStyle w:val="italic1"/>
                <w:rFonts w:asciiTheme="minorHAnsi" w:hAnsiTheme="minorHAnsi" w:cstheme="minorHAnsi"/>
                <w:bCs/>
                <w:i w:val="0"/>
                <w:sz w:val="22"/>
                <w:szCs w:val="22"/>
              </w:rPr>
            </w:pPr>
            <w:r>
              <w:rPr>
                <w:rStyle w:val="italic1"/>
                <w:rFonts w:asciiTheme="minorHAnsi" w:hAnsiTheme="minorHAnsi"/>
                <w:bCs/>
                <w:i w:val="0"/>
                <w:sz w:val="22"/>
                <w:szCs w:val="22"/>
              </w:rPr>
              <w:t>Trajektorja minimale BRE (ktoe)</w:t>
            </w:r>
          </w:p>
        </w:tc>
        <w:tc>
          <w:tcPr>
            <w:tcW w:w="1346" w:type="dxa"/>
            <w:vAlign w:val="center"/>
          </w:tcPr>
          <w:p w14:paraId="4535CE6F" w14:textId="77777777" w:rsidR="00771301" w:rsidRPr="0033055B" w:rsidRDefault="00C66DF0" w:rsidP="007A79A9">
            <w:pPr>
              <w:jc w:val="center"/>
              <w:rPr>
                <w:rFonts w:cstheme="minorHAnsi"/>
              </w:rPr>
            </w:pPr>
            <w:r>
              <w:t>279.1</w:t>
            </w:r>
          </w:p>
        </w:tc>
        <w:tc>
          <w:tcPr>
            <w:tcW w:w="1347" w:type="dxa"/>
            <w:vAlign w:val="center"/>
          </w:tcPr>
          <w:p w14:paraId="3C3D413B" w14:textId="77777777" w:rsidR="00771301" w:rsidRPr="0033055B" w:rsidRDefault="007A79A9" w:rsidP="007A79A9">
            <w:pPr>
              <w:jc w:val="center"/>
              <w:rPr>
                <w:rFonts w:cstheme="minorHAnsi"/>
              </w:rPr>
            </w:pPr>
            <w:r>
              <w:t>298.6</w:t>
            </w:r>
          </w:p>
        </w:tc>
        <w:tc>
          <w:tcPr>
            <w:tcW w:w="1346" w:type="dxa"/>
            <w:vAlign w:val="center"/>
          </w:tcPr>
          <w:p w14:paraId="14FC4429" w14:textId="77777777" w:rsidR="00771301" w:rsidRPr="0033055B" w:rsidRDefault="007A79A9" w:rsidP="007A79A9">
            <w:pPr>
              <w:jc w:val="center"/>
              <w:rPr>
                <w:rFonts w:cstheme="minorHAnsi"/>
              </w:rPr>
            </w:pPr>
            <w:r>
              <w:t>327.7</w:t>
            </w:r>
          </w:p>
        </w:tc>
        <w:tc>
          <w:tcPr>
            <w:tcW w:w="1347" w:type="dxa"/>
            <w:vAlign w:val="center"/>
          </w:tcPr>
          <w:p w14:paraId="2CCF9690" w14:textId="77777777" w:rsidR="00771301" w:rsidRPr="0033055B" w:rsidRDefault="00874C93" w:rsidP="007A79A9">
            <w:pPr>
              <w:jc w:val="center"/>
              <w:rPr>
                <w:rFonts w:cstheme="minorHAnsi"/>
              </w:rPr>
            </w:pPr>
            <w:r>
              <w:t>366.6</w:t>
            </w:r>
          </w:p>
        </w:tc>
        <w:tc>
          <w:tcPr>
            <w:tcW w:w="804" w:type="dxa"/>
            <w:vAlign w:val="center"/>
          </w:tcPr>
          <w:p w14:paraId="32CFD899" w14:textId="77777777" w:rsidR="00771301" w:rsidRPr="0033055B" w:rsidRDefault="00771301" w:rsidP="007A79A9">
            <w:pPr>
              <w:jc w:val="center"/>
              <w:rPr>
                <w:rFonts w:cstheme="minorHAnsi"/>
                <w:lang w:val="en-GB"/>
              </w:rPr>
            </w:pPr>
          </w:p>
        </w:tc>
        <w:tc>
          <w:tcPr>
            <w:tcW w:w="1240" w:type="dxa"/>
            <w:vAlign w:val="center"/>
          </w:tcPr>
          <w:p w14:paraId="6AB52797" w14:textId="77777777" w:rsidR="00771301" w:rsidRPr="0033055B" w:rsidRDefault="00874C93" w:rsidP="007A79A9">
            <w:pPr>
              <w:jc w:val="center"/>
              <w:rPr>
                <w:rFonts w:cstheme="minorHAnsi"/>
              </w:rPr>
            </w:pPr>
            <w:r>
              <w:t>434.6</w:t>
            </w:r>
          </w:p>
        </w:tc>
      </w:tr>
    </w:tbl>
    <w:p w14:paraId="60128B70" w14:textId="77777777" w:rsidR="00771301" w:rsidRPr="0033055B" w:rsidRDefault="00771301" w:rsidP="00771301">
      <w:pPr>
        <w:spacing w:before="120" w:after="120" w:line="240" w:lineRule="auto"/>
        <w:jc w:val="both"/>
        <w:rPr>
          <w:rFonts w:cstheme="minorHAnsi"/>
          <w:lang w:val="en-GB"/>
        </w:rPr>
      </w:pPr>
    </w:p>
    <w:p w14:paraId="427C383B" w14:textId="77777777" w:rsidR="00E2203F" w:rsidRPr="0033055B" w:rsidRDefault="00E2203F" w:rsidP="00771301">
      <w:pPr>
        <w:spacing w:before="120" w:after="120" w:line="240" w:lineRule="auto"/>
        <w:jc w:val="both"/>
        <w:rPr>
          <w:rFonts w:cstheme="minorHAnsi"/>
          <w:lang w:val="en-GB"/>
        </w:rPr>
      </w:pPr>
    </w:p>
    <w:p w14:paraId="32860288" w14:textId="77777777" w:rsidR="00E2203F" w:rsidRPr="0033055B" w:rsidRDefault="00E2203F" w:rsidP="00771301">
      <w:pPr>
        <w:spacing w:before="120" w:after="120" w:line="240" w:lineRule="auto"/>
        <w:jc w:val="both"/>
        <w:rPr>
          <w:rFonts w:cstheme="minorHAnsi"/>
          <w:lang w:val="en-GB"/>
        </w:rPr>
      </w:pPr>
    </w:p>
    <w:p w14:paraId="5A1BDFBD" w14:textId="55C8BA58" w:rsidR="00771301" w:rsidRPr="0033055B" w:rsidRDefault="00E2203F" w:rsidP="00244526">
      <w:pPr>
        <w:spacing w:before="120" w:after="120" w:line="240" w:lineRule="auto"/>
        <w:jc w:val="center"/>
        <w:rPr>
          <w:rFonts w:cstheme="minorHAnsi"/>
          <w:b/>
        </w:rPr>
      </w:pPr>
      <w:bookmarkStart w:id="20" w:name="_Toc518377699"/>
      <w:r>
        <w:rPr>
          <w:rFonts w:ascii="Calibri" w:hAnsi="Calibri"/>
          <w:b/>
          <w:iCs/>
        </w:rPr>
        <w:t xml:space="preserve">Tabela </w:t>
      </w:r>
      <w:r w:rsidR="00724C64" w:rsidRPr="0033055B">
        <w:rPr>
          <w:rFonts w:ascii="Calibri" w:eastAsia="Calibri" w:hAnsi="Calibri"/>
          <w:b/>
          <w:iCs/>
        </w:rPr>
        <w:fldChar w:fldCharType="begin"/>
      </w:r>
      <w:r w:rsidRPr="0033055B">
        <w:rPr>
          <w:rFonts w:ascii="Calibri" w:eastAsia="Calibri" w:hAnsi="Calibri"/>
          <w:b/>
          <w:iCs/>
        </w:rPr>
        <w:instrText xml:space="preserve"> SEQ Table \* ARABIC </w:instrText>
      </w:r>
      <w:r w:rsidR="00724C64" w:rsidRPr="0033055B">
        <w:rPr>
          <w:rFonts w:ascii="Calibri" w:eastAsia="Calibri" w:hAnsi="Calibri"/>
          <w:b/>
          <w:iCs/>
        </w:rPr>
        <w:fldChar w:fldCharType="separate"/>
      </w:r>
      <w:r w:rsidR="00DC4741">
        <w:rPr>
          <w:rFonts w:ascii="Calibri" w:eastAsia="Calibri" w:hAnsi="Calibri"/>
          <w:b/>
          <w:iCs/>
          <w:noProof/>
        </w:rPr>
        <w:t>7</w:t>
      </w:r>
      <w:r w:rsidR="00724C64" w:rsidRPr="0033055B">
        <w:rPr>
          <w:rFonts w:ascii="Calibri" w:eastAsia="Calibri" w:hAnsi="Calibri"/>
          <w:b/>
          <w:iCs/>
        </w:rPr>
        <w:fldChar w:fldCharType="end"/>
      </w:r>
      <w:r>
        <w:rPr>
          <w:b/>
        </w:rPr>
        <w:t>: Tabela e kalkulim</w:t>
      </w:r>
      <w:r w:rsidR="0093664F">
        <w:rPr>
          <w:b/>
        </w:rPr>
        <w:t>it për kontributin e energjisë nga burimet e</w:t>
      </w:r>
      <w:r>
        <w:rPr>
          <w:b/>
        </w:rPr>
        <w:t xml:space="preserve"> ripërtërishme të secilit sektor në konsumin final të energjisë. </w:t>
      </w:r>
      <w:r w:rsidR="00DF33F8">
        <w:rPr>
          <w:rStyle w:val="FootnoteReference"/>
          <w:b/>
          <w:lang w:val="en-GB"/>
        </w:rPr>
        <w:footnoteReference w:id="16"/>
      </w:r>
      <w:bookmarkEnd w:id="20"/>
    </w:p>
    <w:tbl>
      <w:tblPr>
        <w:tblW w:w="10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1532"/>
        <w:gridCol w:w="774"/>
        <w:gridCol w:w="774"/>
        <w:gridCol w:w="774"/>
        <w:gridCol w:w="774"/>
        <w:gridCol w:w="774"/>
        <w:gridCol w:w="774"/>
        <w:gridCol w:w="774"/>
        <w:gridCol w:w="774"/>
        <w:gridCol w:w="774"/>
        <w:gridCol w:w="774"/>
        <w:gridCol w:w="774"/>
        <w:gridCol w:w="774"/>
      </w:tblGrid>
      <w:tr w:rsidR="00C3101E" w:rsidRPr="0033055B" w14:paraId="369C8DF6" w14:textId="77777777" w:rsidTr="007563F9">
        <w:trPr>
          <w:trHeight w:val="270"/>
          <w:jc w:val="center"/>
        </w:trPr>
        <w:tc>
          <w:tcPr>
            <w:tcW w:w="1532" w:type="dxa"/>
            <w:shd w:val="clear" w:color="auto" w:fill="D9D9D9" w:themeFill="background1" w:themeFillShade="D9"/>
            <w:vAlign w:val="center"/>
          </w:tcPr>
          <w:p w14:paraId="7A6348AC" w14:textId="77777777" w:rsidR="00C3101E" w:rsidRPr="0033055B" w:rsidRDefault="00C3101E" w:rsidP="00244526">
            <w:pPr>
              <w:spacing w:after="0" w:line="240" w:lineRule="auto"/>
              <w:jc w:val="both"/>
              <w:rPr>
                <w:rFonts w:cstheme="minorHAnsi"/>
                <w:b/>
              </w:rPr>
            </w:pPr>
            <w:r>
              <w:rPr>
                <w:b/>
                <w:bCs/>
                <w:iCs/>
              </w:rPr>
              <w:t>(ktoe)</w:t>
            </w:r>
          </w:p>
        </w:tc>
        <w:tc>
          <w:tcPr>
            <w:tcW w:w="774" w:type="dxa"/>
            <w:shd w:val="clear" w:color="auto" w:fill="D9D9D9" w:themeFill="background1" w:themeFillShade="D9"/>
            <w:vAlign w:val="center"/>
          </w:tcPr>
          <w:p w14:paraId="4DE7E7B8" w14:textId="36CE3A56" w:rsidR="00C3101E" w:rsidRPr="0033055B" w:rsidRDefault="00912251" w:rsidP="00244526">
            <w:pPr>
              <w:pStyle w:val="NormalWeb"/>
              <w:snapToGrid w:val="0"/>
              <w:spacing w:before="0" w:after="0"/>
              <w:jc w:val="both"/>
              <w:rPr>
                <w:rStyle w:val="italic1"/>
                <w:rFonts w:asciiTheme="minorHAnsi" w:hAnsiTheme="minorHAnsi" w:cstheme="minorHAnsi"/>
                <w:b/>
                <w:bCs/>
                <w:i w:val="0"/>
                <w:sz w:val="22"/>
                <w:szCs w:val="22"/>
              </w:rPr>
            </w:pPr>
            <w:r>
              <w:rPr>
                <w:rStyle w:val="italic1"/>
                <w:rFonts w:asciiTheme="minorHAnsi" w:hAnsiTheme="minorHAnsi"/>
                <w:b/>
                <w:bCs/>
                <w:i w:val="0"/>
                <w:sz w:val="22"/>
                <w:szCs w:val="22"/>
              </w:rPr>
              <w:t>2009</w:t>
            </w:r>
          </w:p>
        </w:tc>
        <w:tc>
          <w:tcPr>
            <w:tcW w:w="774" w:type="dxa"/>
            <w:shd w:val="clear" w:color="auto" w:fill="D9D9D9" w:themeFill="background1" w:themeFillShade="D9"/>
            <w:vAlign w:val="center"/>
          </w:tcPr>
          <w:p w14:paraId="54B153C9" w14:textId="77777777" w:rsidR="00C3101E" w:rsidRPr="0033055B" w:rsidRDefault="00C3101E" w:rsidP="00244526">
            <w:pPr>
              <w:pStyle w:val="NormalWeb"/>
              <w:snapToGrid w:val="0"/>
              <w:spacing w:before="0" w:after="0"/>
              <w:jc w:val="both"/>
              <w:rPr>
                <w:rStyle w:val="italic1"/>
                <w:rFonts w:asciiTheme="minorHAnsi" w:hAnsiTheme="minorHAnsi" w:cstheme="minorHAnsi"/>
                <w:b/>
                <w:bCs/>
                <w:i w:val="0"/>
                <w:sz w:val="22"/>
                <w:szCs w:val="22"/>
              </w:rPr>
            </w:pPr>
            <w:r>
              <w:rPr>
                <w:rStyle w:val="italic1"/>
                <w:rFonts w:asciiTheme="minorHAnsi" w:hAnsiTheme="minorHAnsi"/>
                <w:b/>
                <w:bCs/>
                <w:i w:val="0"/>
                <w:sz w:val="22"/>
                <w:szCs w:val="22"/>
              </w:rPr>
              <w:t>2010</w:t>
            </w:r>
          </w:p>
        </w:tc>
        <w:tc>
          <w:tcPr>
            <w:tcW w:w="774" w:type="dxa"/>
            <w:shd w:val="clear" w:color="auto" w:fill="D9D9D9" w:themeFill="background1" w:themeFillShade="D9"/>
            <w:vAlign w:val="center"/>
          </w:tcPr>
          <w:p w14:paraId="31E82CF9" w14:textId="77777777" w:rsidR="00C3101E" w:rsidRPr="0033055B" w:rsidRDefault="00C3101E" w:rsidP="00244526">
            <w:pPr>
              <w:pStyle w:val="NormalWeb"/>
              <w:snapToGrid w:val="0"/>
              <w:spacing w:before="0" w:after="0"/>
              <w:jc w:val="both"/>
              <w:rPr>
                <w:rStyle w:val="italic1"/>
                <w:rFonts w:asciiTheme="minorHAnsi" w:hAnsiTheme="minorHAnsi" w:cstheme="minorHAnsi"/>
                <w:b/>
                <w:bCs/>
                <w:i w:val="0"/>
                <w:sz w:val="22"/>
                <w:szCs w:val="22"/>
              </w:rPr>
            </w:pPr>
            <w:r>
              <w:rPr>
                <w:rStyle w:val="italic1"/>
                <w:rFonts w:asciiTheme="minorHAnsi" w:hAnsiTheme="minorHAnsi"/>
                <w:b/>
                <w:bCs/>
                <w:i w:val="0"/>
                <w:sz w:val="22"/>
                <w:szCs w:val="22"/>
              </w:rPr>
              <w:t>2011</w:t>
            </w:r>
          </w:p>
        </w:tc>
        <w:tc>
          <w:tcPr>
            <w:tcW w:w="774" w:type="dxa"/>
            <w:shd w:val="clear" w:color="auto" w:fill="D9D9D9" w:themeFill="background1" w:themeFillShade="D9"/>
            <w:vAlign w:val="center"/>
          </w:tcPr>
          <w:p w14:paraId="331215F6" w14:textId="77777777" w:rsidR="00C3101E" w:rsidRPr="0033055B" w:rsidRDefault="00C3101E" w:rsidP="00244526">
            <w:pPr>
              <w:pStyle w:val="NormalWeb"/>
              <w:snapToGrid w:val="0"/>
              <w:spacing w:before="0" w:after="0"/>
              <w:jc w:val="both"/>
              <w:rPr>
                <w:rStyle w:val="italic1"/>
                <w:rFonts w:asciiTheme="minorHAnsi" w:hAnsiTheme="minorHAnsi" w:cstheme="minorHAnsi"/>
                <w:b/>
                <w:bCs/>
                <w:i w:val="0"/>
                <w:sz w:val="22"/>
                <w:szCs w:val="22"/>
              </w:rPr>
            </w:pPr>
            <w:r>
              <w:rPr>
                <w:rStyle w:val="italic1"/>
                <w:rFonts w:asciiTheme="minorHAnsi" w:hAnsiTheme="minorHAnsi"/>
                <w:b/>
                <w:bCs/>
                <w:i w:val="0"/>
                <w:sz w:val="22"/>
                <w:szCs w:val="22"/>
              </w:rPr>
              <w:t>2012</w:t>
            </w:r>
          </w:p>
        </w:tc>
        <w:tc>
          <w:tcPr>
            <w:tcW w:w="774" w:type="dxa"/>
            <w:shd w:val="clear" w:color="auto" w:fill="D9D9D9" w:themeFill="background1" w:themeFillShade="D9"/>
            <w:vAlign w:val="center"/>
          </w:tcPr>
          <w:p w14:paraId="57E15F79" w14:textId="77777777" w:rsidR="00C3101E" w:rsidRPr="0033055B" w:rsidRDefault="00C3101E" w:rsidP="00244526">
            <w:pPr>
              <w:pStyle w:val="NormalWeb"/>
              <w:snapToGrid w:val="0"/>
              <w:spacing w:before="0" w:after="0"/>
              <w:jc w:val="both"/>
              <w:rPr>
                <w:rStyle w:val="italic1"/>
                <w:rFonts w:asciiTheme="minorHAnsi" w:hAnsiTheme="minorHAnsi" w:cstheme="minorHAnsi"/>
                <w:b/>
                <w:bCs/>
                <w:i w:val="0"/>
                <w:sz w:val="22"/>
                <w:szCs w:val="22"/>
              </w:rPr>
            </w:pPr>
            <w:r>
              <w:rPr>
                <w:rStyle w:val="italic1"/>
                <w:rFonts w:asciiTheme="minorHAnsi" w:hAnsiTheme="minorHAnsi"/>
                <w:b/>
                <w:bCs/>
                <w:i w:val="0"/>
                <w:sz w:val="22"/>
                <w:szCs w:val="22"/>
              </w:rPr>
              <w:t>2013</w:t>
            </w:r>
          </w:p>
        </w:tc>
        <w:tc>
          <w:tcPr>
            <w:tcW w:w="774" w:type="dxa"/>
            <w:shd w:val="clear" w:color="auto" w:fill="D9D9D9" w:themeFill="background1" w:themeFillShade="D9"/>
            <w:vAlign w:val="center"/>
          </w:tcPr>
          <w:p w14:paraId="7C188E61" w14:textId="77777777" w:rsidR="00C3101E" w:rsidRPr="0033055B" w:rsidRDefault="00C3101E" w:rsidP="00244526">
            <w:pPr>
              <w:pStyle w:val="NormalWeb"/>
              <w:snapToGrid w:val="0"/>
              <w:spacing w:before="0" w:after="0"/>
              <w:jc w:val="both"/>
              <w:rPr>
                <w:rStyle w:val="italic1"/>
                <w:rFonts w:asciiTheme="minorHAnsi" w:hAnsiTheme="minorHAnsi" w:cstheme="minorHAnsi"/>
                <w:b/>
                <w:bCs/>
                <w:i w:val="0"/>
                <w:sz w:val="22"/>
                <w:szCs w:val="22"/>
              </w:rPr>
            </w:pPr>
            <w:r>
              <w:rPr>
                <w:rStyle w:val="italic1"/>
                <w:rFonts w:asciiTheme="minorHAnsi" w:hAnsiTheme="minorHAnsi"/>
                <w:b/>
                <w:bCs/>
                <w:i w:val="0"/>
                <w:sz w:val="22"/>
                <w:szCs w:val="22"/>
              </w:rPr>
              <w:t>2014</w:t>
            </w:r>
          </w:p>
        </w:tc>
        <w:tc>
          <w:tcPr>
            <w:tcW w:w="774" w:type="dxa"/>
            <w:shd w:val="clear" w:color="auto" w:fill="D9D9D9" w:themeFill="background1" w:themeFillShade="D9"/>
            <w:vAlign w:val="center"/>
          </w:tcPr>
          <w:p w14:paraId="551B0EE1" w14:textId="77777777" w:rsidR="00C3101E" w:rsidRPr="0033055B" w:rsidRDefault="00C3101E" w:rsidP="00244526">
            <w:pPr>
              <w:pStyle w:val="NormalWeb"/>
              <w:snapToGrid w:val="0"/>
              <w:spacing w:before="0" w:after="0"/>
              <w:jc w:val="both"/>
              <w:rPr>
                <w:rStyle w:val="italic1"/>
                <w:rFonts w:asciiTheme="minorHAnsi" w:hAnsiTheme="minorHAnsi" w:cstheme="minorHAnsi"/>
                <w:b/>
                <w:bCs/>
                <w:i w:val="0"/>
                <w:sz w:val="22"/>
                <w:szCs w:val="22"/>
              </w:rPr>
            </w:pPr>
            <w:r>
              <w:rPr>
                <w:rStyle w:val="italic1"/>
                <w:rFonts w:asciiTheme="minorHAnsi" w:hAnsiTheme="minorHAnsi"/>
                <w:b/>
                <w:bCs/>
                <w:i w:val="0"/>
                <w:sz w:val="22"/>
                <w:szCs w:val="22"/>
              </w:rPr>
              <w:t>2015</w:t>
            </w:r>
          </w:p>
        </w:tc>
        <w:tc>
          <w:tcPr>
            <w:tcW w:w="774" w:type="dxa"/>
            <w:shd w:val="clear" w:color="auto" w:fill="D9D9D9" w:themeFill="background1" w:themeFillShade="D9"/>
            <w:vAlign w:val="center"/>
          </w:tcPr>
          <w:p w14:paraId="0A16C075" w14:textId="77777777" w:rsidR="00C3101E" w:rsidRPr="0033055B" w:rsidRDefault="00C3101E" w:rsidP="00244526">
            <w:pPr>
              <w:pStyle w:val="NormalWeb"/>
              <w:snapToGrid w:val="0"/>
              <w:spacing w:before="0" w:after="0"/>
              <w:jc w:val="both"/>
              <w:rPr>
                <w:rStyle w:val="italic1"/>
                <w:rFonts w:asciiTheme="minorHAnsi" w:hAnsiTheme="minorHAnsi" w:cstheme="minorHAnsi"/>
                <w:b/>
                <w:bCs/>
                <w:i w:val="0"/>
                <w:sz w:val="22"/>
                <w:szCs w:val="22"/>
              </w:rPr>
            </w:pPr>
            <w:r>
              <w:rPr>
                <w:rStyle w:val="italic1"/>
                <w:rFonts w:asciiTheme="minorHAnsi" w:hAnsiTheme="minorHAnsi"/>
                <w:b/>
                <w:bCs/>
                <w:i w:val="0"/>
                <w:sz w:val="22"/>
                <w:szCs w:val="22"/>
              </w:rPr>
              <w:t>2016</w:t>
            </w:r>
          </w:p>
        </w:tc>
        <w:tc>
          <w:tcPr>
            <w:tcW w:w="774" w:type="dxa"/>
            <w:shd w:val="clear" w:color="auto" w:fill="D9D9D9" w:themeFill="background1" w:themeFillShade="D9"/>
            <w:vAlign w:val="center"/>
          </w:tcPr>
          <w:p w14:paraId="25E1FF81" w14:textId="77777777" w:rsidR="00C3101E" w:rsidRPr="0033055B" w:rsidRDefault="00C3101E" w:rsidP="00244526">
            <w:pPr>
              <w:pStyle w:val="NormalWeb"/>
              <w:snapToGrid w:val="0"/>
              <w:spacing w:before="0" w:after="0"/>
              <w:jc w:val="both"/>
              <w:rPr>
                <w:rStyle w:val="italic1"/>
                <w:rFonts w:asciiTheme="minorHAnsi" w:hAnsiTheme="minorHAnsi" w:cstheme="minorHAnsi"/>
                <w:b/>
                <w:bCs/>
                <w:i w:val="0"/>
                <w:sz w:val="22"/>
                <w:szCs w:val="22"/>
              </w:rPr>
            </w:pPr>
            <w:r>
              <w:rPr>
                <w:rStyle w:val="italic1"/>
                <w:rFonts w:asciiTheme="minorHAnsi" w:hAnsiTheme="minorHAnsi"/>
                <w:b/>
                <w:bCs/>
                <w:i w:val="0"/>
                <w:sz w:val="22"/>
                <w:szCs w:val="22"/>
              </w:rPr>
              <w:t>2017</w:t>
            </w:r>
          </w:p>
        </w:tc>
        <w:tc>
          <w:tcPr>
            <w:tcW w:w="774" w:type="dxa"/>
            <w:shd w:val="clear" w:color="auto" w:fill="D9D9D9" w:themeFill="background1" w:themeFillShade="D9"/>
            <w:vAlign w:val="center"/>
          </w:tcPr>
          <w:p w14:paraId="6A13B7C6" w14:textId="77777777" w:rsidR="00C3101E" w:rsidRPr="0033055B" w:rsidRDefault="00C3101E" w:rsidP="00244526">
            <w:pPr>
              <w:pStyle w:val="NormalWeb"/>
              <w:snapToGrid w:val="0"/>
              <w:spacing w:before="0" w:after="0"/>
              <w:jc w:val="both"/>
              <w:rPr>
                <w:rStyle w:val="italic1"/>
                <w:rFonts w:asciiTheme="minorHAnsi" w:hAnsiTheme="minorHAnsi" w:cstheme="minorHAnsi"/>
                <w:b/>
                <w:bCs/>
                <w:i w:val="0"/>
                <w:sz w:val="22"/>
                <w:szCs w:val="22"/>
              </w:rPr>
            </w:pPr>
            <w:r>
              <w:rPr>
                <w:rStyle w:val="italic1"/>
                <w:rFonts w:asciiTheme="minorHAnsi" w:hAnsiTheme="minorHAnsi"/>
                <w:b/>
                <w:bCs/>
                <w:i w:val="0"/>
                <w:sz w:val="22"/>
                <w:szCs w:val="22"/>
              </w:rPr>
              <w:t>2018</w:t>
            </w:r>
          </w:p>
        </w:tc>
        <w:tc>
          <w:tcPr>
            <w:tcW w:w="774" w:type="dxa"/>
            <w:shd w:val="clear" w:color="auto" w:fill="D9D9D9" w:themeFill="background1" w:themeFillShade="D9"/>
            <w:vAlign w:val="center"/>
          </w:tcPr>
          <w:p w14:paraId="117E24D0" w14:textId="77777777" w:rsidR="00C3101E" w:rsidRPr="0033055B" w:rsidRDefault="00C3101E" w:rsidP="00244526">
            <w:pPr>
              <w:pStyle w:val="NormalWeb"/>
              <w:snapToGrid w:val="0"/>
              <w:spacing w:before="0" w:after="0"/>
              <w:jc w:val="both"/>
              <w:rPr>
                <w:rStyle w:val="italic1"/>
                <w:rFonts w:asciiTheme="minorHAnsi" w:hAnsiTheme="minorHAnsi" w:cstheme="minorHAnsi"/>
                <w:b/>
                <w:bCs/>
                <w:i w:val="0"/>
                <w:sz w:val="22"/>
                <w:szCs w:val="22"/>
              </w:rPr>
            </w:pPr>
            <w:r>
              <w:rPr>
                <w:rStyle w:val="italic1"/>
                <w:rFonts w:asciiTheme="minorHAnsi" w:hAnsiTheme="minorHAnsi"/>
                <w:b/>
                <w:bCs/>
                <w:i w:val="0"/>
                <w:sz w:val="22"/>
                <w:szCs w:val="22"/>
              </w:rPr>
              <w:t>2019</w:t>
            </w:r>
          </w:p>
        </w:tc>
        <w:tc>
          <w:tcPr>
            <w:tcW w:w="774" w:type="dxa"/>
            <w:shd w:val="clear" w:color="auto" w:fill="D9D9D9" w:themeFill="background1" w:themeFillShade="D9"/>
            <w:vAlign w:val="center"/>
          </w:tcPr>
          <w:p w14:paraId="2F56F909" w14:textId="77777777" w:rsidR="00C3101E" w:rsidRPr="0033055B" w:rsidRDefault="00C3101E" w:rsidP="00244526">
            <w:pPr>
              <w:pStyle w:val="NormalWeb"/>
              <w:snapToGrid w:val="0"/>
              <w:spacing w:before="0" w:after="0"/>
              <w:jc w:val="both"/>
              <w:rPr>
                <w:rStyle w:val="italic1"/>
                <w:rFonts w:asciiTheme="minorHAnsi" w:hAnsiTheme="minorHAnsi" w:cstheme="minorHAnsi"/>
                <w:b/>
                <w:bCs/>
                <w:i w:val="0"/>
                <w:sz w:val="22"/>
                <w:szCs w:val="22"/>
              </w:rPr>
            </w:pPr>
            <w:r>
              <w:rPr>
                <w:rStyle w:val="italic1"/>
                <w:rFonts w:asciiTheme="minorHAnsi" w:hAnsiTheme="minorHAnsi"/>
                <w:b/>
                <w:bCs/>
                <w:i w:val="0"/>
                <w:sz w:val="22"/>
                <w:szCs w:val="22"/>
              </w:rPr>
              <w:t>2020</w:t>
            </w:r>
          </w:p>
        </w:tc>
      </w:tr>
      <w:tr w:rsidR="00FF3FF2" w:rsidRPr="0033055B" w14:paraId="2D539260" w14:textId="77777777" w:rsidTr="007563F9">
        <w:trPr>
          <w:trHeight w:val="691"/>
          <w:jc w:val="center"/>
        </w:trPr>
        <w:tc>
          <w:tcPr>
            <w:tcW w:w="1532" w:type="dxa"/>
            <w:shd w:val="clear" w:color="auto" w:fill="FFFFFF" w:themeFill="background1"/>
            <w:vAlign w:val="center"/>
          </w:tcPr>
          <w:p w14:paraId="2EFED8FB" w14:textId="77777777" w:rsidR="00FF3FF2" w:rsidRPr="0033055B" w:rsidRDefault="00FF3FF2" w:rsidP="00FF3FF2">
            <w:pPr>
              <w:pStyle w:val="NormalWeb"/>
              <w:snapToGrid w:val="0"/>
              <w:spacing w:before="0" w:after="0"/>
              <w:rPr>
                <w:rFonts w:asciiTheme="minorHAnsi" w:hAnsiTheme="minorHAnsi" w:cstheme="minorHAnsi"/>
                <w:sz w:val="22"/>
                <w:szCs w:val="22"/>
              </w:rPr>
            </w:pPr>
            <w:r>
              <w:rPr>
                <w:rStyle w:val="italic1"/>
                <w:rFonts w:asciiTheme="minorHAnsi" w:hAnsiTheme="minorHAnsi"/>
                <w:bCs/>
                <w:i w:val="0"/>
                <w:sz w:val="22"/>
                <w:szCs w:val="22"/>
              </w:rPr>
              <w:t xml:space="preserve">(A) </w:t>
            </w:r>
            <w:r>
              <w:rPr>
                <w:rFonts w:asciiTheme="minorHAnsi" w:hAnsiTheme="minorHAnsi"/>
                <w:bCs/>
                <w:iCs/>
                <w:sz w:val="22"/>
                <w:szCs w:val="22"/>
              </w:rPr>
              <w:t>Konsumi i pritur final bruto i BRE-ve për ngrohje dhe ftohje</w:t>
            </w:r>
          </w:p>
        </w:tc>
        <w:tc>
          <w:tcPr>
            <w:tcW w:w="774" w:type="dxa"/>
            <w:shd w:val="clear" w:color="auto" w:fill="FFFFFF" w:themeFill="background1"/>
            <w:vAlign w:val="center"/>
          </w:tcPr>
          <w:p w14:paraId="01D6DB05" w14:textId="77777777" w:rsidR="00FF3FF2" w:rsidRPr="0033055B" w:rsidRDefault="00FF3FF2" w:rsidP="00FF3FF2">
            <w:pPr>
              <w:spacing w:after="0" w:line="240" w:lineRule="auto"/>
              <w:jc w:val="both"/>
              <w:rPr>
                <w:rFonts w:cstheme="minorHAnsi"/>
              </w:rPr>
            </w:pPr>
            <w:r>
              <w:t>234.9</w:t>
            </w:r>
          </w:p>
        </w:tc>
        <w:tc>
          <w:tcPr>
            <w:tcW w:w="774" w:type="dxa"/>
            <w:shd w:val="clear" w:color="auto" w:fill="FFFFFF" w:themeFill="background1"/>
            <w:vAlign w:val="center"/>
          </w:tcPr>
          <w:p w14:paraId="2A9D0D62" w14:textId="77777777" w:rsidR="00FF3FF2" w:rsidRPr="0033055B" w:rsidRDefault="00FF3FF2" w:rsidP="00FF3FF2">
            <w:pPr>
              <w:spacing w:after="0" w:line="240" w:lineRule="auto"/>
              <w:jc w:val="both"/>
              <w:rPr>
                <w:rFonts w:cstheme="minorHAnsi"/>
              </w:rPr>
            </w:pPr>
            <w:r>
              <w:t>236.6</w:t>
            </w:r>
          </w:p>
        </w:tc>
        <w:tc>
          <w:tcPr>
            <w:tcW w:w="774" w:type="dxa"/>
            <w:shd w:val="clear" w:color="auto" w:fill="FFFFFF" w:themeFill="background1"/>
            <w:vAlign w:val="center"/>
          </w:tcPr>
          <w:p w14:paraId="661735C7" w14:textId="77777777" w:rsidR="00FF3FF2" w:rsidRPr="0033055B" w:rsidRDefault="00FF3FF2" w:rsidP="00FF3FF2">
            <w:pPr>
              <w:spacing w:after="0" w:line="240" w:lineRule="auto"/>
              <w:jc w:val="both"/>
              <w:rPr>
                <w:rFonts w:cstheme="minorHAnsi"/>
              </w:rPr>
            </w:pPr>
            <w:r>
              <w:t>242.2</w:t>
            </w:r>
          </w:p>
        </w:tc>
        <w:tc>
          <w:tcPr>
            <w:tcW w:w="774" w:type="dxa"/>
            <w:shd w:val="clear" w:color="auto" w:fill="FFFFFF" w:themeFill="background1"/>
            <w:vAlign w:val="center"/>
          </w:tcPr>
          <w:p w14:paraId="23770795" w14:textId="77777777" w:rsidR="00FF3FF2" w:rsidRPr="0033055B" w:rsidRDefault="00FF3FF2" w:rsidP="00FF3FF2">
            <w:pPr>
              <w:spacing w:after="0" w:line="240" w:lineRule="auto"/>
              <w:jc w:val="both"/>
              <w:rPr>
                <w:rFonts w:cstheme="minorHAnsi"/>
              </w:rPr>
            </w:pPr>
            <w:r>
              <w:t>247.8</w:t>
            </w:r>
          </w:p>
        </w:tc>
        <w:tc>
          <w:tcPr>
            <w:tcW w:w="774" w:type="dxa"/>
            <w:shd w:val="clear" w:color="auto" w:fill="FFFFFF" w:themeFill="background1"/>
            <w:vAlign w:val="center"/>
          </w:tcPr>
          <w:p w14:paraId="286AB560" w14:textId="77777777" w:rsidR="00FF3FF2" w:rsidRPr="0033055B" w:rsidRDefault="00FF3FF2" w:rsidP="00FF3FF2">
            <w:pPr>
              <w:spacing w:after="0" w:line="240" w:lineRule="auto"/>
              <w:jc w:val="both"/>
              <w:rPr>
                <w:rFonts w:cstheme="minorHAnsi"/>
              </w:rPr>
            </w:pPr>
            <w:r>
              <w:t>247.9</w:t>
            </w:r>
          </w:p>
        </w:tc>
        <w:tc>
          <w:tcPr>
            <w:tcW w:w="774" w:type="dxa"/>
            <w:shd w:val="clear" w:color="auto" w:fill="FFFFFF" w:themeFill="background1"/>
            <w:vAlign w:val="center"/>
          </w:tcPr>
          <w:p w14:paraId="20BCD9FA" w14:textId="77777777" w:rsidR="00FF3FF2" w:rsidRPr="0033055B" w:rsidRDefault="00FF3FF2" w:rsidP="00FF3FF2">
            <w:pPr>
              <w:spacing w:after="0" w:line="240" w:lineRule="auto"/>
              <w:jc w:val="both"/>
              <w:rPr>
                <w:rFonts w:cstheme="minorHAnsi"/>
              </w:rPr>
            </w:pPr>
            <w:r>
              <w:t>251.8</w:t>
            </w:r>
          </w:p>
        </w:tc>
        <w:tc>
          <w:tcPr>
            <w:tcW w:w="774" w:type="dxa"/>
            <w:shd w:val="clear" w:color="auto" w:fill="FFFFFF" w:themeFill="background1"/>
            <w:vAlign w:val="center"/>
          </w:tcPr>
          <w:p w14:paraId="080304D8" w14:textId="77777777" w:rsidR="00FF3FF2" w:rsidRPr="0033055B" w:rsidRDefault="00FF3FF2" w:rsidP="00FF3FF2">
            <w:pPr>
              <w:spacing w:after="0" w:line="240" w:lineRule="auto"/>
              <w:jc w:val="both"/>
              <w:rPr>
                <w:rFonts w:cstheme="minorHAnsi"/>
              </w:rPr>
            </w:pPr>
            <w:r>
              <w:t>263.8</w:t>
            </w:r>
          </w:p>
        </w:tc>
        <w:tc>
          <w:tcPr>
            <w:tcW w:w="774" w:type="dxa"/>
            <w:shd w:val="clear" w:color="auto" w:fill="FFFFFF" w:themeFill="background1"/>
            <w:vAlign w:val="center"/>
          </w:tcPr>
          <w:p w14:paraId="76DD8EB5" w14:textId="77777777" w:rsidR="00FF3FF2" w:rsidRPr="0033055B" w:rsidRDefault="00FF3FF2" w:rsidP="00FF3FF2">
            <w:pPr>
              <w:spacing w:after="0" w:line="240" w:lineRule="auto"/>
              <w:jc w:val="both"/>
              <w:rPr>
                <w:rFonts w:cstheme="minorHAnsi"/>
              </w:rPr>
            </w:pPr>
            <w:r>
              <w:t>263.8</w:t>
            </w:r>
          </w:p>
        </w:tc>
        <w:tc>
          <w:tcPr>
            <w:tcW w:w="774" w:type="dxa"/>
            <w:shd w:val="clear" w:color="auto" w:fill="FFFFFF" w:themeFill="background1"/>
            <w:vAlign w:val="center"/>
          </w:tcPr>
          <w:p w14:paraId="2CB8B775" w14:textId="77777777" w:rsidR="00FF3FF2" w:rsidRPr="0033055B" w:rsidRDefault="00FF3FF2" w:rsidP="00FF3FF2">
            <w:pPr>
              <w:spacing w:after="0" w:line="240" w:lineRule="auto"/>
              <w:jc w:val="both"/>
              <w:rPr>
                <w:rFonts w:cstheme="minorHAnsi"/>
              </w:rPr>
            </w:pPr>
            <w:r>
              <w:t>263.8</w:t>
            </w:r>
          </w:p>
        </w:tc>
        <w:tc>
          <w:tcPr>
            <w:tcW w:w="774" w:type="dxa"/>
            <w:shd w:val="clear" w:color="auto" w:fill="FFFFFF" w:themeFill="background1"/>
            <w:vAlign w:val="center"/>
          </w:tcPr>
          <w:p w14:paraId="4562C72A" w14:textId="77777777" w:rsidR="00FF3FF2" w:rsidRPr="0033055B" w:rsidRDefault="00FF3FF2" w:rsidP="00FF3FF2">
            <w:pPr>
              <w:spacing w:after="0" w:line="240" w:lineRule="auto"/>
              <w:jc w:val="both"/>
              <w:rPr>
                <w:rFonts w:cstheme="minorHAnsi"/>
              </w:rPr>
            </w:pPr>
            <w:r>
              <w:t>272.7</w:t>
            </w:r>
          </w:p>
        </w:tc>
        <w:tc>
          <w:tcPr>
            <w:tcW w:w="774" w:type="dxa"/>
            <w:shd w:val="clear" w:color="auto" w:fill="FFFFFF" w:themeFill="background1"/>
            <w:vAlign w:val="center"/>
          </w:tcPr>
          <w:p w14:paraId="797F70EB" w14:textId="77777777" w:rsidR="00FF3FF2" w:rsidRPr="0033055B" w:rsidRDefault="00FF3FF2" w:rsidP="00FF3FF2">
            <w:pPr>
              <w:spacing w:after="0" w:line="240" w:lineRule="auto"/>
              <w:jc w:val="both"/>
              <w:rPr>
                <w:rFonts w:cstheme="minorHAnsi"/>
              </w:rPr>
            </w:pPr>
            <w:r>
              <w:t>281.7</w:t>
            </w:r>
          </w:p>
        </w:tc>
        <w:tc>
          <w:tcPr>
            <w:tcW w:w="774" w:type="dxa"/>
            <w:shd w:val="clear" w:color="auto" w:fill="FFFFFF" w:themeFill="background1"/>
            <w:vAlign w:val="center"/>
          </w:tcPr>
          <w:p w14:paraId="291BDF55" w14:textId="77777777" w:rsidR="00FF3FF2" w:rsidRPr="0033055B" w:rsidRDefault="00FF3FF2" w:rsidP="00FF3FF2">
            <w:pPr>
              <w:spacing w:after="0" w:line="240" w:lineRule="auto"/>
              <w:jc w:val="both"/>
              <w:rPr>
                <w:rFonts w:cstheme="minorHAnsi"/>
              </w:rPr>
            </w:pPr>
            <w:r>
              <w:t>303.6</w:t>
            </w:r>
          </w:p>
        </w:tc>
      </w:tr>
      <w:tr w:rsidR="00FF3FF2" w:rsidRPr="0033055B" w14:paraId="6F372DFA" w14:textId="77777777" w:rsidTr="007563F9">
        <w:trPr>
          <w:trHeight w:val="1338"/>
          <w:jc w:val="center"/>
        </w:trPr>
        <w:tc>
          <w:tcPr>
            <w:tcW w:w="1532" w:type="dxa"/>
            <w:shd w:val="clear" w:color="auto" w:fill="FFFFFF" w:themeFill="background1"/>
            <w:vAlign w:val="center"/>
          </w:tcPr>
          <w:p w14:paraId="7A234630" w14:textId="77777777" w:rsidR="00FF3FF2" w:rsidRPr="0033055B" w:rsidRDefault="00FF3FF2" w:rsidP="00FF3FF2">
            <w:pPr>
              <w:pStyle w:val="NormalWeb"/>
              <w:snapToGrid w:val="0"/>
              <w:spacing w:before="0" w:after="0"/>
              <w:rPr>
                <w:rStyle w:val="italic1"/>
                <w:rFonts w:asciiTheme="minorHAnsi" w:hAnsiTheme="minorHAnsi" w:cstheme="minorHAnsi"/>
                <w:bCs/>
                <w:i w:val="0"/>
                <w:sz w:val="22"/>
                <w:szCs w:val="22"/>
              </w:rPr>
            </w:pPr>
            <w:r>
              <w:rPr>
                <w:rStyle w:val="italic1"/>
                <w:rFonts w:asciiTheme="minorHAnsi" w:hAnsiTheme="minorHAnsi"/>
                <w:bCs/>
                <w:i w:val="0"/>
                <w:sz w:val="22"/>
                <w:szCs w:val="22"/>
              </w:rPr>
              <w:t xml:space="preserve">(B) </w:t>
            </w:r>
            <w:r>
              <w:rPr>
                <w:rFonts w:asciiTheme="minorHAnsi" w:hAnsiTheme="minorHAnsi"/>
                <w:bCs/>
                <w:iCs/>
                <w:sz w:val="22"/>
                <w:szCs w:val="22"/>
              </w:rPr>
              <w:t xml:space="preserve">Konsumi bruto final i energjisë elektrike nga BRE-të </w:t>
            </w:r>
            <w:r>
              <w:rPr>
                <w:rStyle w:val="italic1"/>
                <w:rFonts w:asciiTheme="minorHAnsi" w:hAnsiTheme="minorHAnsi"/>
                <w:bCs/>
                <w:i w:val="0"/>
                <w:sz w:val="22"/>
                <w:szCs w:val="22"/>
              </w:rPr>
              <w:t xml:space="preserve"> </w:t>
            </w:r>
          </w:p>
        </w:tc>
        <w:tc>
          <w:tcPr>
            <w:tcW w:w="774" w:type="dxa"/>
            <w:shd w:val="clear" w:color="auto" w:fill="FFFFFF" w:themeFill="background1"/>
            <w:vAlign w:val="center"/>
          </w:tcPr>
          <w:p w14:paraId="36488D0F" w14:textId="77777777" w:rsidR="00FF3FF2" w:rsidRPr="0033055B" w:rsidRDefault="00FF3FF2" w:rsidP="00FF3FF2">
            <w:pPr>
              <w:spacing w:after="0" w:line="240" w:lineRule="auto"/>
              <w:jc w:val="both"/>
              <w:rPr>
                <w:rFonts w:cstheme="minorHAnsi"/>
              </w:rPr>
            </w:pPr>
            <w:r>
              <w:t>5.3</w:t>
            </w:r>
          </w:p>
        </w:tc>
        <w:tc>
          <w:tcPr>
            <w:tcW w:w="774" w:type="dxa"/>
            <w:shd w:val="clear" w:color="auto" w:fill="FFFFFF" w:themeFill="background1"/>
            <w:vAlign w:val="center"/>
          </w:tcPr>
          <w:p w14:paraId="18584867" w14:textId="77777777" w:rsidR="00FF3FF2" w:rsidRPr="0033055B" w:rsidRDefault="00FF3FF2" w:rsidP="00FF3FF2">
            <w:pPr>
              <w:spacing w:after="0" w:line="240" w:lineRule="auto"/>
              <w:jc w:val="both"/>
              <w:rPr>
                <w:rFonts w:cstheme="minorHAnsi"/>
              </w:rPr>
            </w:pPr>
            <w:r>
              <w:t>6.5</w:t>
            </w:r>
          </w:p>
        </w:tc>
        <w:tc>
          <w:tcPr>
            <w:tcW w:w="774" w:type="dxa"/>
            <w:shd w:val="clear" w:color="auto" w:fill="FFFFFF" w:themeFill="background1"/>
            <w:vAlign w:val="center"/>
          </w:tcPr>
          <w:p w14:paraId="0DDE43A1" w14:textId="77777777" w:rsidR="00FF3FF2" w:rsidRPr="0033055B" w:rsidRDefault="00FF3FF2" w:rsidP="00FF3FF2">
            <w:pPr>
              <w:spacing w:after="0" w:line="240" w:lineRule="auto"/>
              <w:jc w:val="both"/>
              <w:rPr>
                <w:rFonts w:cstheme="minorHAnsi"/>
              </w:rPr>
            </w:pPr>
            <w:r>
              <w:t>7.3</w:t>
            </w:r>
          </w:p>
        </w:tc>
        <w:tc>
          <w:tcPr>
            <w:tcW w:w="774" w:type="dxa"/>
            <w:shd w:val="clear" w:color="auto" w:fill="FFFFFF" w:themeFill="background1"/>
            <w:vAlign w:val="center"/>
          </w:tcPr>
          <w:p w14:paraId="22D53169" w14:textId="77777777" w:rsidR="00FF3FF2" w:rsidRPr="0033055B" w:rsidRDefault="00FF3FF2" w:rsidP="00FF3FF2">
            <w:pPr>
              <w:spacing w:after="0" w:line="240" w:lineRule="auto"/>
              <w:jc w:val="both"/>
              <w:rPr>
                <w:rFonts w:cstheme="minorHAnsi"/>
              </w:rPr>
            </w:pPr>
            <w:r>
              <w:t>7.8</w:t>
            </w:r>
          </w:p>
        </w:tc>
        <w:tc>
          <w:tcPr>
            <w:tcW w:w="774" w:type="dxa"/>
            <w:shd w:val="clear" w:color="auto" w:fill="FFFFFF" w:themeFill="background1"/>
            <w:vAlign w:val="center"/>
          </w:tcPr>
          <w:p w14:paraId="67D54C47" w14:textId="77777777" w:rsidR="00FF3FF2" w:rsidRPr="0033055B" w:rsidRDefault="00FF3FF2" w:rsidP="00FF3FF2">
            <w:pPr>
              <w:spacing w:after="0" w:line="240" w:lineRule="auto"/>
              <w:jc w:val="both"/>
              <w:rPr>
                <w:rFonts w:cstheme="minorHAnsi"/>
              </w:rPr>
            </w:pPr>
            <w:r>
              <w:t>8.6</w:t>
            </w:r>
          </w:p>
        </w:tc>
        <w:tc>
          <w:tcPr>
            <w:tcW w:w="774" w:type="dxa"/>
            <w:shd w:val="clear" w:color="auto" w:fill="FFFFFF" w:themeFill="background1"/>
            <w:vAlign w:val="center"/>
          </w:tcPr>
          <w:p w14:paraId="7CDC3667" w14:textId="77777777" w:rsidR="00FF3FF2" w:rsidRPr="0033055B" w:rsidRDefault="00FF3FF2" w:rsidP="00FF3FF2">
            <w:pPr>
              <w:spacing w:after="0" w:line="240" w:lineRule="auto"/>
              <w:jc w:val="both"/>
              <w:rPr>
                <w:rFonts w:cstheme="minorHAnsi"/>
              </w:rPr>
            </w:pPr>
            <w:r>
              <w:t>9.5</w:t>
            </w:r>
          </w:p>
        </w:tc>
        <w:tc>
          <w:tcPr>
            <w:tcW w:w="774" w:type="dxa"/>
            <w:shd w:val="clear" w:color="auto" w:fill="FFFFFF" w:themeFill="background1"/>
            <w:vAlign w:val="center"/>
          </w:tcPr>
          <w:p w14:paraId="271FFBDD" w14:textId="77777777" w:rsidR="00FF3FF2" w:rsidRPr="0033055B" w:rsidRDefault="00FF3FF2" w:rsidP="00FF3FF2">
            <w:pPr>
              <w:spacing w:after="0" w:line="240" w:lineRule="auto"/>
              <w:jc w:val="both"/>
              <w:rPr>
                <w:rFonts w:cstheme="minorHAnsi"/>
              </w:rPr>
            </w:pPr>
            <w:r>
              <w:t>9.9</w:t>
            </w:r>
          </w:p>
        </w:tc>
        <w:tc>
          <w:tcPr>
            <w:tcW w:w="774" w:type="dxa"/>
            <w:shd w:val="clear" w:color="auto" w:fill="FFFFFF" w:themeFill="background1"/>
            <w:vAlign w:val="center"/>
          </w:tcPr>
          <w:p w14:paraId="110E1D3D" w14:textId="77777777" w:rsidR="00FF3FF2" w:rsidRPr="0033055B" w:rsidRDefault="00FF3FF2" w:rsidP="00FF3FF2">
            <w:pPr>
              <w:spacing w:after="0" w:line="240" w:lineRule="auto"/>
              <w:jc w:val="both"/>
              <w:rPr>
                <w:rFonts w:cstheme="minorHAnsi"/>
              </w:rPr>
            </w:pPr>
            <w:r>
              <w:t>28.7</w:t>
            </w:r>
          </w:p>
        </w:tc>
        <w:tc>
          <w:tcPr>
            <w:tcW w:w="774" w:type="dxa"/>
            <w:shd w:val="clear" w:color="auto" w:fill="FFFFFF" w:themeFill="background1"/>
            <w:vAlign w:val="center"/>
          </w:tcPr>
          <w:p w14:paraId="6584595E" w14:textId="77777777" w:rsidR="00FF3FF2" w:rsidRPr="0033055B" w:rsidRDefault="00FF3FF2" w:rsidP="00FF3FF2">
            <w:pPr>
              <w:spacing w:after="0" w:line="240" w:lineRule="auto"/>
              <w:jc w:val="both"/>
              <w:rPr>
                <w:rFonts w:cstheme="minorHAnsi"/>
              </w:rPr>
            </w:pPr>
            <w:r>
              <w:t>28.7</w:t>
            </w:r>
          </w:p>
        </w:tc>
        <w:tc>
          <w:tcPr>
            <w:tcW w:w="774" w:type="dxa"/>
            <w:shd w:val="clear" w:color="auto" w:fill="FFFFFF" w:themeFill="background1"/>
            <w:vAlign w:val="center"/>
          </w:tcPr>
          <w:p w14:paraId="21654B6F" w14:textId="77777777" w:rsidR="00FF3FF2" w:rsidRPr="0033055B" w:rsidRDefault="00FF3FF2" w:rsidP="00FF3FF2">
            <w:pPr>
              <w:spacing w:after="0" w:line="240" w:lineRule="auto"/>
              <w:jc w:val="both"/>
              <w:rPr>
                <w:rFonts w:cstheme="minorHAnsi"/>
              </w:rPr>
            </w:pPr>
            <w:r>
              <w:t>46.9</w:t>
            </w:r>
          </w:p>
        </w:tc>
        <w:tc>
          <w:tcPr>
            <w:tcW w:w="774" w:type="dxa"/>
            <w:shd w:val="clear" w:color="auto" w:fill="FFFFFF" w:themeFill="background1"/>
            <w:vAlign w:val="center"/>
          </w:tcPr>
          <w:p w14:paraId="460BA476" w14:textId="77777777" w:rsidR="00FF3FF2" w:rsidRPr="0033055B" w:rsidRDefault="00FF3FF2" w:rsidP="00FF3FF2">
            <w:pPr>
              <w:spacing w:after="0" w:line="240" w:lineRule="auto"/>
              <w:jc w:val="both"/>
              <w:rPr>
                <w:rFonts w:cstheme="minorHAnsi"/>
              </w:rPr>
            </w:pPr>
            <w:r>
              <w:t>59.1</w:t>
            </w:r>
          </w:p>
        </w:tc>
        <w:tc>
          <w:tcPr>
            <w:tcW w:w="774" w:type="dxa"/>
            <w:shd w:val="clear" w:color="auto" w:fill="FFFFFF" w:themeFill="background1"/>
            <w:vAlign w:val="center"/>
          </w:tcPr>
          <w:p w14:paraId="47B1131E" w14:textId="77777777" w:rsidR="00FF3FF2" w:rsidRPr="0033055B" w:rsidRDefault="00FF3FF2" w:rsidP="00FF3FF2">
            <w:pPr>
              <w:spacing w:after="0" w:line="240" w:lineRule="auto"/>
              <w:jc w:val="both"/>
              <w:rPr>
                <w:rFonts w:cstheme="minorHAnsi"/>
              </w:rPr>
            </w:pPr>
            <w:r>
              <w:t>91.4</w:t>
            </w:r>
          </w:p>
        </w:tc>
      </w:tr>
      <w:tr w:rsidR="00FF3FF2" w:rsidRPr="0033055B" w14:paraId="2EB06E2F" w14:textId="77777777" w:rsidTr="007563F9">
        <w:trPr>
          <w:trHeight w:val="1608"/>
          <w:jc w:val="center"/>
        </w:trPr>
        <w:tc>
          <w:tcPr>
            <w:tcW w:w="1532" w:type="dxa"/>
            <w:shd w:val="clear" w:color="auto" w:fill="FFFFFF" w:themeFill="background1"/>
            <w:vAlign w:val="center"/>
          </w:tcPr>
          <w:p w14:paraId="32EBC5FC" w14:textId="77777777" w:rsidR="00FF3FF2" w:rsidRPr="0033055B" w:rsidRDefault="00FF3FF2" w:rsidP="00FF3FF2">
            <w:pPr>
              <w:pStyle w:val="NormalWeb"/>
              <w:snapToGrid w:val="0"/>
              <w:spacing w:before="0" w:after="0"/>
              <w:rPr>
                <w:rStyle w:val="italic1"/>
                <w:rFonts w:asciiTheme="minorHAnsi" w:hAnsiTheme="minorHAnsi" w:cstheme="minorHAnsi"/>
                <w:bCs/>
                <w:i w:val="0"/>
                <w:sz w:val="22"/>
                <w:szCs w:val="22"/>
              </w:rPr>
            </w:pPr>
            <w:r>
              <w:rPr>
                <w:rStyle w:val="italic1"/>
                <w:rFonts w:asciiTheme="minorHAnsi" w:hAnsiTheme="minorHAnsi"/>
                <w:bCs/>
                <w:i w:val="0"/>
                <w:sz w:val="22"/>
                <w:szCs w:val="22"/>
              </w:rPr>
              <w:t xml:space="preserve">(C) </w:t>
            </w:r>
            <w:r>
              <w:rPr>
                <w:rFonts w:asciiTheme="minorHAnsi" w:hAnsiTheme="minorHAnsi"/>
                <w:bCs/>
                <w:iCs/>
                <w:sz w:val="22"/>
                <w:szCs w:val="22"/>
              </w:rPr>
              <w:t>Konsumi bruto final i energjisë nga BRE-të në transport</w:t>
            </w:r>
          </w:p>
        </w:tc>
        <w:tc>
          <w:tcPr>
            <w:tcW w:w="774" w:type="dxa"/>
            <w:shd w:val="clear" w:color="auto" w:fill="FFFFFF" w:themeFill="background1"/>
            <w:vAlign w:val="center"/>
          </w:tcPr>
          <w:p w14:paraId="1A171942" w14:textId="77777777" w:rsidR="00FF3FF2" w:rsidRPr="0033055B" w:rsidRDefault="00FF3FF2" w:rsidP="00FF3FF2">
            <w:pPr>
              <w:spacing w:after="0" w:line="240" w:lineRule="auto"/>
              <w:jc w:val="both"/>
              <w:rPr>
                <w:rFonts w:cstheme="minorHAnsi"/>
              </w:rPr>
            </w:pPr>
            <w:r>
              <w:t>0.0</w:t>
            </w:r>
          </w:p>
        </w:tc>
        <w:tc>
          <w:tcPr>
            <w:tcW w:w="774" w:type="dxa"/>
            <w:shd w:val="clear" w:color="auto" w:fill="FFFFFF" w:themeFill="background1"/>
            <w:vAlign w:val="center"/>
          </w:tcPr>
          <w:p w14:paraId="0330C21C" w14:textId="77777777" w:rsidR="00FF3FF2" w:rsidRPr="0033055B" w:rsidRDefault="00FF3FF2" w:rsidP="00FF3FF2">
            <w:pPr>
              <w:spacing w:after="0" w:line="240" w:lineRule="auto"/>
              <w:jc w:val="both"/>
              <w:rPr>
                <w:rFonts w:cstheme="minorHAnsi"/>
              </w:rPr>
            </w:pPr>
            <w:r>
              <w:t>0,0</w:t>
            </w:r>
          </w:p>
        </w:tc>
        <w:tc>
          <w:tcPr>
            <w:tcW w:w="774" w:type="dxa"/>
            <w:shd w:val="clear" w:color="auto" w:fill="FFFFFF" w:themeFill="background1"/>
            <w:vAlign w:val="center"/>
          </w:tcPr>
          <w:p w14:paraId="00936A71" w14:textId="77777777" w:rsidR="00FF3FF2" w:rsidRPr="0033055B" w:rsidRDefault="00FF3FF2" w:rsidP="00FF3FF2">
            <w:pPr>
              <w:spacing w:after="0" w:line="240" w:lineRule="auto"/>
              <w:jc w:val="both"/>
              <w:rPr>
                <w:rFonts w:cstheme="minorHAnsi"/>
              </w:rPr>
            </w:pPr>
            <w:r>
              <w:t>0.0</w:t>
            </w:r>
          </w:p>
        </w:tc>
        <w:tc>
          <w:tcPr>
            <w:tcW w:w="774" w:type="dxa"/>
            <w:shd w:val="clear" w:color="auto" w:fill="FFFFFF" w:themeFill="background1"/>
            <w:vAlign w:val="center"/>
          </w:tcPr>
          <w:p w14:paraId="3267225B" w14:textId="77777777" w:rsidR="00FF3FF2" w:rsidRPr="0033055B" w:rsidRDefault="00FF3FF2" w:rsidP="00FF3FF2">
            <w:pPr>
              <w:spacing w:after="0" w:line="240" w:lineRule="auto"/>
              <w:jc w:val="both"/>
              <w:rPr>
                <w:rFonts w:cstheme="minorHAnsi"/>
              </w:rPr>
            </w:pPr>
            <w:r>
              <w:t>0.0</w:t>
            </w:r>
          </w:p>
        </w:tc>
        <w:tc>
          <w:tcPr>
            <w:tcW w:w="774" w:type="dxa"/>
            <w:shd w:val="clear" w:color="auto" w:fill="FFFFFF" w:themeFill="background1"/>
            <w:vAlign w:val="center"/>
          </w:tcPr>
          <w:p w14:paraId="399DDB77" w14:textId="77777777" w:rsidR="00FF3FF2" w:rsidRPr="0033055B" w:rsidRDefault="00FF3FF2" w:rsidP="00FF3FF2">
            <w:pPr>
              <w:spacing w:after="0" w:line="240" w:lineRule="auto"/>
              <w:jc w:val="both"/>
              <w:rPr>
                <w:rFonts w:cstheme="minorHAnsi"/>
              </w:rPr>
            </w:pPr>
            <w:r>
              <w:t>0.0</w:t>
            </w:r>
          </w:p>
        </w:tc>
        <w:tc>
          <w:tcPr>
            <w:tcW w:w="774" w:type="dxa"/>
            <w:shd w:val="clear" w:color="auto" w:fill="FFFFFF" w:themeFill="background1"/>
            <w:vAlign w:val="center"/>
          </w:tcPr>
          <w:p w14:paraId="77F925D4" w14:textId="77777777" w:rsidR="00FF3FF2" w:rsidRPr="0033055B" w:rsidRDefault="00FF3FF2" w:rsidP="00FF3FF2">
            <w:pPr>
              <w:spacing w:after="0" w:line="240" w:lineRule="auto"/>
              <w:jc w:val="both"/>
              <w:rPr>
                <w:rFonts w:cstheme="minorHAnsi"/>
              </w:rPr>
            </w:pPr>
            <w:r>
              <w:t>0.0</w:t>
            </w:r>
          </w:p>
        </w:tc>
        <w:tc>
          <w:tcPr>
            <w:tcW w:w="774" w:type="dxa"/>
            <w:shd w:val="clear" w:color="auto" w:fill="FFFFFF" w:themeFill="background1"/>
            <w:vAlign w:val="center"/>
          </w:tcPr>
          <w:p w14:paraId="2C2D2403" w14:textId="77777777" w:rsidR="00FF3FF2" w:rsidRPr="0033055B" w:rsidRDefault="00FF3FF2" w:rsidP="00FF3FF2">
            <w:pPr>
              <w:spacing w:after="0" w:line="240" w:lineRule="auto"/>
              <w:jc w:val="both"/>
              <w:rPr>
                <w:rFonts w:cstheme="minorHAnsi"/>
              </w:rPr>
            </w:pPr>
            <w:r>
              <w:t>0.0</w:t>
            </w:r>
          </w:p>
        </w:tc>
        <w:tc>
          <w:tcPr>
            <w:tcW w:w="774" w:type="dxa"/>
            <w:shd w:val="clear" w:color="auto" w:fill="FFFFFF" w:themeFill="background1"/>
            <w:vAlign w:val="center"/>
          </w:tcPr>
          <w:p w14:paraId="5ACB5371" w14:textId="77777777" w:rsidR="00FF3FF2" w:rsidRPr="0033055B" w:rsidRDefault="00FF3FF2" w:rsidP="00FF3FF2">
            <w:pPr>
              <w:spacing w:after="0" w:line="240" w:lineRule="auto"/>
              <w:jc w:val="both"/>
              <w:rPr>
                <w:rFonts w:cstheme="minorHAnsi"/>
              </w:rPr>
            </w:pPr>
            <w:r>
              <w:t>0.0</w:t>
            </w:r>
          </w:p>
        </w:tc>
        <w:tc>
          <w:tcPr>
            <w:tcW w:w="774" w:type="dxa"/>
            <w:shd w:val="clear" w:color="auto" w:fill="FFFFFF" w:themeFill="background1"/>
            <w:vAlign w:val="center"/>
          </w:tcPr>
          <w:p w14:paraId="454CF369" w14:textId="77777777" w:rsidR="00FF3FF2" w:rsidRPr="0033055B" w:rsidRDefault="00FF3FF2" w:rsidP="00FF3FF2">
            <w:pPr>
              <w:spacing w:after="0" w:line="240" w:lineRule="auto"/>
              <w:jc w:val="both"/>
              <w:rPr>
                <w:rFonts w:cstheme="minorHAnsi"/>
              </w:rPr>
            </w:pPr>
            <w:r>
              <w:t>0.0</w:t>
            </w:r>
          </w:p>
        </w:tc>
        <w:tc>
          <w:tcPr>
            <w:tcW w:w="774" w:type="dxa"/>
            <w:shd w:val="clear" w:color="auto" w:fill="FFFFFF" w:themeFill="background1"/>
            <w:vAlign w:val="center"/>
          </w:tcPr>
          <w:p w14:paraId="3422E96C" w14:textId="34B383D8" w:rsidR="00FF3FF2" w:rsidRPr="0033055B" w:rsidRDefault="00091742" w:rsidP="00FF3FF2">
            <w:pPr>
              <w:spacing w:after="0" w:line="240" w:lineRule="auto"/>
              <w:jc w:val="both"/>
              <w:rPr>
                <w:rFonts w:cstheme="minorHAnsi"/>
              </w:rPr>
            </w:pPr>
            <w:r>
              <w:t>0.0</w:t>
            </w:r>
          </w:p>
        </w:tc>
        <w:tc>
          <w:tcPr>
            <w:tcW w:w="774" w:type="dxa"/>
            <w:shd w:val="clear" w:color="auto" w:fill="FFFFFF" w:themeFill="background1"/>
            <w:vAlign w:val="center"/>
          </w:tcPr>
          <w:p w14:paraId="3A61ABC0" w14:textId="77777777" w:rsidR="00FF3FF2" w:rsidRPr="0033055B" w:rsidRDefault="00FF3FF2" w:rsidP="00FF3FF2">
            <w:pPr>
              <w:spacing w:after="0" w:line="240" w:lineRule="auto"/>
              <w:jc w:val="both"/>
              <w:rPr>
                <w:rFonts w:cstheme="minorHAnsi"/>
              </w:rPr>
            </w:pPr>
            <w:r>
              <w:t>19.5</w:t>
            </w:r>
          </w:p>
        </w:tc>
        <w:tc>
          <w:tcPr>
            <w:tcW w:w="774" w:type="dxa"/>
            <w:shd w:val="clear" w:color="auto" w:fill="FFFFFF" w:themeFill="background1"/>
            <w:vAlign w:val="center"/>
          </w:tcPr>
          <w:p w14:paraId="5006C495" w14:textId="77777777" w:rsidR="00FF3FF2" w:rsidRPr="0033055B" w:rsidRDefault="00FF3FF2" w:rsidP="00FF3FF2">
            <w:pPr>
              <w:spacing w:after="0" w:line="240" w:lineRule="auto"/>
              <w:jc w:val="both"/>
              <w:rPr>
                <w:rFonts w:cstheme="minorHAnsi"/>
              </w:rPr>
            </w:pPr>
            <w:r>
              <w:t>39.7</w:t>
            </w:r>
          </w:p>
        </w:tc>
      </w:tr>
      <w:tr w:rsidR="00FF3FF2" w:rsidRPr="0033055B" w14:paraId="02CB24C6" w14:textId="77777777" w:rsidTr="007563F9">
        <w:trPr>
          <w:trHeight w:val="796"/>
          <w:jc w:val="center"/>
        </w:trPr>
        <w:tc>
          <w:tcPr>
            <w:tcW w:w="1532" w:type="dxa"/>
            <w:shd w:val="clear" w:color="auto" w:fill="FFFFFF" w:themeFill="background1"/>
            <w:vAlign w:val="center"/>
          </w:tcPr>
          <w:p w14:paraId="417FC3B0" w14:textId="77777777" w:rsidR="00FF3FF2" w:rsidRPr="0033055B" w:rsidRDefault="00FF3FF2" w:rsidP="00FF3FF2">
            <w:pPr>
              <w:pStyle w:val="NormalWeb"/>
              <w:snapToGrid w:val="0"/>
              <w:spacing w:before="0" w:after="0"/>
              <w:rPr>
                <w:rStyle w:val="italic1"/>
                <w:rFonts w:asciiTheme="minorHAnsi" w:hAnsiTheme="minorHAnsi" w:cstheme="minorHAnsi"/>
                <w:bCs/>
                <w:i w:val="0"/>
                <w:sz w:val="22"/>
                <w:szCs w:val="22"/>
              </w:rPr>
            </w:pPr>
            <w:r>
              <w:rPr>
                <w:rStyle w:val="italic1"/>
                <w:rFonts w:asciiTheme="minorHAnsi" w:hAnsiTheme="minorHAnsi"/>
                <w:bCs/>
                <w:i w:val="0"/>
                <w:sz w:val="22"/>
                <w:szCs w:val="22"/>
              </w:rPr>
              <w:t>(D) Konsumi i pritur total i BRE-ve</w:t>
            </w:r>
            <w:r w:rsidRPr="0033055B">
              <w:rPr>
                <w:rStyle w:val="FootnoteReference"/>
                <w:rFonts w:asciiTheme="minorHAnsi" w:hAnsiTheme="minorHAnsi" w:cstheme="minorHAnsi"/>
                <w:bCs/>
                <w:iCs/>
                <w:sz w:val="22"/>
                <w:szCs w:val="22"/>
              </w:rPr>
              <w:footnoteReference w:id="17"/>
            </w:r>
            <w:r>
              <w:rPr>
                <w:rStyle w:val="italic1"/>
                <w:rFonts w:asciiTheme="minorHAnsi" w:hAnsiTheme="minorHAnsi"/>
                <w:bCs/>
                <w:i w:val="0"/>
                <w:sz w:val="22"/>
                <w:szCs w:val="22"/>
              </w:rPr>
              <w:t xml:space="preserve"> </w:t>
            </w:r>
          </w:p>
        </w:tc>
        <w:tc>
          <w:tcPr>
            <w:tcW w:w="774" w:type="dxa"/>
            <w:shd w:val="clear" w:color="auto" w:fill="FFFFFF" w:themeFill="background1"/>
            <w:vAlign w:val="center"/>
          </w:tcPr>
          <w:p w14:paraId="5D82FCC5" w14:textId="77777777" w:rsidR="00FF3FF2" w:rsidRPr="0033055B" w:rsidRDefault="00FF3FF2" w:rsidP="00FF3FF2">
            <w:pPr>
              <w:spacing w:after="0" w:line="240" w:lineRule="auto"/>
              <w:jc w:val="both"/>
              <w:rPr>
                <w:rFonts w:cstheme="minorHAnsi"/>
              </w:rPr>
            </w:pPr>
            <w:r>
              <w:t>240.3</w:t>
            </w:r>
          </w:p>
        </w:tc>
        <w:tc>
          <w:tcPr>
            <w:tcW w:w="774" w:type="dxa"/>
            <w:shd w:val="clear" w:color="auto" w:fill="FFFFFF" w:themeFill="background1"/>
            <w:vAlign w:val="center"/>
          </w:tcPr>
          <w:p w14:paraId="0527F680" w14:textId="77777777" w:rsidR="00FF3FF2" w:rsidRPr="0033055B" w:rsidRDefault="00FF3FF2" w:rsidP="00FF3FF2">
            <w:pPr>
              <w:spacing w:after="0" w:line="240" w:lineRule="auto"/>
              <w:jc w:val="both"/>
              <w:rPr>
                <w:rFonts w:cstheme="minorHAnsi"/>
              </w:rPr>
            </w:pPr>
            <w:r>
              <w:t>243.1</w:t>
            </w:r>
          </w:p>
        </w:tc>
        <w:tc>
          <w:tcPr>
            <w:tcW w:w="774" w:type="dxa"/>
            <w:shd w:val="clear" w:color="auto" w:fill="FFFFFF" w:themeFill="background1"/>
            <w:vAlign w:val="center"/>
          </w:tcPr>
          <w:p w14:paraId="69283350" w14:textId="77777777" w:rsidR="00FF3FF2" w:rsidRPr="0033055B" w:rsidRDefault="00FF3FF2" w:rsidP="00FF3FF2">
            <w:pPr>
              <w:spacing w:after="0" w:line="240" w:lineRule="auto"/>
              <w:jc w:val="both"/>
              <w:rPr>
                <w:rFonts w:cstheme="minorHAnsi"/>
              </w:rPr>
            </w:pPr>
            <w:r>
              <w:t>249.4</w:t>
            </w:r>
          </w:p>
        </w:tc>
        <w:tc>
          <w:tcPr>
            <w:tcW w:w="774" w:type="dxa"/>
            <w:shd w:val="clear" w:color="auto" w:fill="FFFFFF" w:themeFill="background1"/>
            <w:vAlign w:val="center"/>
          </w:tcPr>
          <w:p w14:paraId="46456159" w14:textId="77777777" w:rsidR="00FF3FF2" w:rsidRPr="0033055B" w:rsidRDefault="00FF3FF2" w:rsidP="00FF3FF2">
            <w:pPr>
              <w:spacing w:after="0" w:line="240" w:lineRule="auto"/>
              <w:jc w:val="both"/>
              <w:rPr>
                <w:rFonts w:cstheme="minorHAnsi"/>
              </w:rPr>
            </w:pPr>
            <w:r>
              <w:t>255.6</w:t>
            </w:r>
          </w:p>
        </w:tc>
        <w:tc>
          <w:tcPr>
            <w:tcW w:w="774" w:type="dxa"/>
            <w:shd w:val="clear" w:color="auto" w:fill="FFFFFF" w:themeFill="background1"/>
            <w:vAlign w:val="center"/>
          </w:tcPr>
          <w:p w14:paraId="6EB472A3" w14:textId="77777777" w:rsidR="00FF3FF2" w:rsidRPr="0033055B" w:rsidRDefault="00FF3FF2" w:rsidP="00FF3FF2">
            <w:pPr>
              <w:spacing w:after="0" w:line="240" w:lineRule="auto"/>
              <w:jc w:val="both"/>
              <w:rPr>
                <w:rFonts w:cstheme="minorHAnsi"/>
              </w:rPr>
            </w:pPr>
            <w:r>
              <w:t>256.6</w:t>
            </w:r>
          </w:p>
        </w:tc>
        <w:tc>
          <w:tcPr>
            <w:tcW w:w="774" w:type="dxa"/>
            <w:shd w:val="clear" w:color="auto" w:fill="FFFFFF" w:themeFill="background1"/>
            <w:vAlign w:val="center"/>
          </w:tcPr>
          <w:p w14:paraId="1B9ED938" w14:textId="77777777" w:rsidR="00FF3FF2" w:rsidRPr="0033055B" w:rsidRDefault="00FF3FF2" w:rsidP="00FF3FF2">
            <w:pPr>
              <w:spacing w:after="0" w:line="240" w:lineRule="auto"/>
              <w:jc w:val="both"/>
              <w:rPr>
                <w:rFonts w:cstheme="minorHAnsi"/>
              </w:rPr>
            </w:pPr>
            <w:r>
              <w:t>261.3</w:t>
            </w:r>
          </w:p>
        </w:tc>
        <w:tc>
          <w:tcPr>
            <w:tcW w:w="774" w:type="dxa"/>
            <w:shd w:val="clear" w:color="auto" w:fill="FFFFFF" w:themeFill="background1"/>
            <w:vAlign w:val="center"/>
          </w:tcPr>
          <w:p w14:paraId="37FFF284" w14:textId="77777777" w:rsidR="00FF3FF2" w:rsidRPr="0033055B" w:rsidRDefault="00FF3FF2" w:rsidP="00FF3FF2">
            <w:pPr>
              <w:spacing w:after="0" w:line="240" w:lineRule="auto"/>
              <w:jc w:val="both"/>
              <w:rPr>
                <w:rFonts w:cstheme="minorHAnsi"/>
              </w:rPr>
            </w:pPr>
            <w:r>
              <w:t>273.6</w:t>
            </w:r>
          </w:p>
        </w:tc>
        <w:tc>
          <w:tcPr>
            <w:tcW w:w="774" w:type="dxa"/>
            <w:shd w:val="clear" w:color="auto" w:fill="FFFFFF" w:themeFill="background1"/>
            <w:vAlign w:val="center"/>
          </w:tcPr>
          <w:p w14:paraId="71077C21" w14:textId="77777777" w:rsidR="00FF3FF2" w:rsidRPr="0033055B" w:rsidRDefault="00FF3FF2" w:rsidP="00FF3FF2">
            <w:pPr>
              <w:spacing w:after="0" w:line="240" w:lineRule="auto"/>
              <w:jc w:val="both"/>
              <w:rPr>
                <w:rFonts w:cstheme="minorHAnsi"/>
              </w:rPr>
            </w:pPr>
            <w:r>
              <w:t>292.4</w:t>
            </w:r>
          </w:p>
        </w:tc>
        <w:tc>
          <w:tcPr>
            <w:tcW w:w="774" w:type="dxa"/>
            <w:shd w:val="clear" w:color="auto" w:fill="FFFFFF" w:themeFill="background1"/>
            <w:vAlign w:val="center"/>
          </w:tcPr>
          <w:p w14:paraId="4731F772" w14:textId="77777777" w:rsidR="00FF3FF2" w:rsidRPr="0033055B" w:rsidRDefault="00FF3FF2" w:rsidP="00FF3FF2">
            <w:pPr>
              <w:spacing w:after="0" w:line="240" w:lineRule="auto"/>
              <w:jc w:val="both"/>
              <w:rPr>
                <w:rFonts w:cstheme="minorHAnsi"/>
              </w:rPr>
            </w:pPr>
            <w:r>
              <w:t>292.4</w:t>
            </w:r>
          </w:p>
        </w:tc>
        <w:tc>
          <w:tcPr>
            <w:tcW w:w="774" w:type="dxa"/>
            <w:shd w:val="clear" w:color="auto" w:fill="FFFFFF" w:themeFill="background1"/>
            <w:vAlign w:val="center"/>
          </w:tcPr>
          <w:p w14:paraId="62EEBB2F" w14:textId="65D5BCE0" w:rsidR="00FF3FF2" w:rsidRPr="0033055B" w:rsidRDefault="00FF3FF2" w:rsidP="00FF3FF2">
            <w:pPr>
              <w:spacing w:after="0" w:line="240" w:lineRule="auto"/>
              <w:jc w:val="both"/>
              <w:rPr>
                <w:rFonts w:cstheme="minorHAnsi"/>
              </w:rPr>
            </w:pPr>
            <w:r>
              <w:t>319.6</w:t>
            </w:r>
          </w:p>
        </w:tc>
        <w:tc>
          <w:tcPr>
            <w:tcW w:w="774" w:type="dxa"/>
            <w:shd w:val="clear" w:color="auto" w:fill="FFFFFF" w:themeFill="background1"/>
            <w:vAlign w:val="center"/>
          </w:tcPr>
          <w:p w14:paraId="7B8FF40E" w14:textId="77777777" w:rsidR="00FF3FF2" w:rsidRPr="0033055B" w:rsidRDefault="00FF3FF2" w:rsidP="00FF3FF2">
            <w:pPr>
              <w:spacing w:after="0" w:line="240" w:lineRule="auto"/>
              <w:jc w:val="both"/>
              <w:rPr>
                <w:rFonts w:cstheme="minorHAnsi"/>
              </w:rPr>
            </w:pPr>
            <w:r>
              <w:t>360.4</w:t>
            </w:r>
          </w:p>
        </w:tc>
        <w:tc>
          <w:tcPr>
            <w:tcW w:w="774" w:type="dxa"/>
            <w:shd w:val="clear" w:color="auto" w:fill="FFFFFF" w:themeFill="background1"/>
            <w:vAlign w:val="center"/>
          </w:tcPr>
          <w:p w14:paraId="5C92B233" w14:textId="77777777" w:rsidR="00FF3FF2" w:rsidRPr="0033055B" w:rsidRDefault="00FF3FF2" w:rsidP="00FF3FF2">
            <w:pPr>
              <w:spacing w:after="0" w:line="240" w:lineRule="auto"/>
              <w:jc w:val="both"/>
              <w:rPr>
                <w:rFonts w:cstheme="minorHAnsi"/>
              </w:rPr>
            </w:pPr>
            <w:r>
              <w:t>434.6</w:t>
            </w:r>
          </w:p>
        </w:tc>
      </w:tr>
      <w:tr w:rsidR="00C3101E" w:rsidRPr="0033055B" w14:paraId="1290D4A3" w14:textId="77777777" w:rsidTr="007563F9">
        <w:trPr>
          <w:trHeight w:val="1338"/>
          <w:jc w:val="center"/>
        </w:trPr>
        <w:tc>
          <w:tcPr>
            <w:tcW w:w="1532" w:type="dxa"/>
            <w:shd w:val="clear" w:color="auto" w:fill="FFFFFF" w:themeFill="background1"/>
            <w:vAlign w:val="center"/>
          </w:tcPr>
          <w:p w14:paraId="464E7607" w14:textId="77777777" w:rsidR="00C3101E" w:rsidRPr="0033055B" w:rsidRDefault="00C3101E" w:rsidP="00FF07DC">
            <w:pPr>
              <w:pStyle w:val="NormalWeb"/>
              <w:snapToGrid w:val="0"/>
              <w:spacing w:before="0" w:after="0"/>
              <w:rPr>
                <w:rStyle w:val="italic1"/>
                <w:rFonts w:asciiTheme="minorHAnsi" w:hAnsiTheme="minorHAnsi" w:cstheme="minorHAnsi"/>
                <w:bCs/>
                <w:i w:val="0"/>
                <w:sz w:val="22"/>
                <w:szCs w:val="22"/>
              </w:rPr>
            </w:pPr>
            <w:r>
              <w:rPr>
                <w:rStyle w:val="italic1"/>
                <w:rFonts w:asciiTheme="minorHAnsi" w:hAnsiTheme="minorHAnsi"/>
                <w:bCs/>
                <w:i w:val="0"/>
                <w:sz w:val="22"/>
                <w:szCs w:val="22"/>
              </w:rPr>
              <w:t xml:space="preserve">(E) Transferimi i pritur i BRE-ve tek Shtetet tjera Anëtare </w:t>
            </w:r>
          </w:p>
        </w:tc>
        <w:tc>
          <w:tcPr>
            <w:tcW w:w="774" w:type="dxa"/>
            <w:shd w:val="clear" w:color="auto" w:fill="FFFFFF" w:themeFill="background1"/>
            <w:vAlign w:val="center"/>
          </w:tcPr>
          <w:p w14:paraId="4B12C9EE" w14:textId="77777777" w:rsidR="00C3101E" w:rsidRPr="0033055B" w:rsidRDefault="00C3101E" w:rsidP="00244526">
            <w:pPr>
              <w:spacing w:after="0" w:line="240" w:lineRule="auto"/>
              <w:jc w:val="both"/>
              <w:rPr>
                <w:rFonts w:cstheme="minorHAnsi"/>
                <w:lang w:val="en-GB"/>
              </w:rPr>
            </w:pPr>
          </w:p>
        </w:tc>
        <w:tc>
          <w:tcPr>
            <w:tcW w:w="774" w:type="dxa"/>
            <w:shd w:val="clear" w:color="auto" w:fill="FFFFFF" w:themeFill="background1"/>
            <w:vAlign w:val="center"/>
          </w:tcPr>
          <w:p w14:paraId="2AD982B5" w14:textId="77777777" w:rsidR="00C3101E" w:rsidRPr="0033055B" w:rsidRDefault="00C3101E" w:rsidP="00244526">
            <w:pPr>
              <w:spacing w:after="0" w:line="240" w:lineRule="auto"/>
              <w:jc w:val="both"/>
              <w:rPr>
                <w:rFonts w:cstheme="minorHAnsi"/>
                <w:lang w:val="en-GB"/>
              </w:rPr>
            </w:pPr>
          </w:p>
        </w:tc>
        <w:tc>
          <w:tcPr>
            <w:tcW w:w="774" w:type="dxa"/>
            <w:shd w:val="clear" w:color="auto" w:fill="FFFFFF" w:themeFill="background1"/>
            <w:vAlign w:val="center"/>
          </w:tcPr>
          <w:p w14:paraId="75782C06" w14:textId="77777777" w:rsidR="00C3101E" w:rsidRPr="0033055B" w:rsidRDefault="00C3101E" w:rsidP="00244526">
            <w:pPr>
              <w:spacing w:after="0" w:line="240" w:lineRule="auto"/>
              <w:jc w:val="both"/>
              <w:rPr>
                <w:rFonts w:cstheme="minorHAnsi"/>
                <w:lang w:val="en-GB"/>
              </w:rPr>
            </w:pPr>
          </w:p>
        </w:tc>
        <w:tc>
          <w:tcPr>
            <w:tcW w:w="774" w:type="dxa"/>
            <w:shd w:val="clear" w:color="auto" w:fill="FFFFFF" w:themeFill="background1"/>
            <w:vAlign w:val="center"/>
          </w:tcPr>
          <w:p w14:paraId="1E3DCCF4" w14:textId="77777777" w:rsidR="00C3101E" w:rsidRPr="0033055B" w:rsidRDefault="00C3101E" w:rsidP="00244526">
            <w:pPr>
              <w:spacing w:after="0" w:line="240" w:lineRule="auto"/>
              <w:jc w:val="both"/>
              <w:rPr>
                <w:rFonts w:cstheme="minorHAnsi"/>
                <w:lang w:val="en-GB"/>
              </w:rPr>
            </w:pPr>
          </w:p>
        </w:tc>
        <w:tc>
          <w:tcPr>
            <w:tcW w:w="774" w:type="dxa"/>
            <w:shd w:val="clear" w:color="auto" w:fill="FFFFFF" w:themeFill="background1"/>
            <w:vAlign w:val="center"/>
          </w:tcPr>
          <w:p w14:paraId="43EC8056" w14:textId="77777777" w:rsidR="00C3101E" w:rsidRPr="0033055B" w:rsidRDefault="00C3101E" w:rsidP="00244526">
            <w:pPr>
              <w:spacing w:after="0" w:line="240" w:lineRule="auto"/>
              <w:jc w:val="both"/>
              <w:rPr>
                <w:rFonts w:cstheme="minorHAnsi"/>
                <w:lang w:val="en-GB"/>
              </w:rPr>
            </w:pPr>
          </w:p>
        </w:tc>
        <w:tc>
          <w:tcPr>
            <w:tcW w:w="774" w:type="dxa"/>
            <w:shd w:val="clear" w:color="auto" w:fill="FFFFFF" w:themeFill="background1"/>
            <w:vAlign w:val="center"/>
          </w:tcPr>
          <w:p w14:paraId="630438F5" w14:textId="77777777" w:rsidR="00C3101E" w:rsidRPr="0033055B" w:rsidRDefault="00C3101E" w:rsidP="00244526">
            <w:pPr>
              <w:spacing w:after="0" w:line="240" w:lineRule="auto"/>
              <w:jc w:val="both"/>
              <w:rPr>
                <w:rFonts w:cstheme="minorHAnsi"/>
                <w:lang w:val="en-GB"/>
              </w:rPr>
            </w:pPr>
          </w:p>
        </w:tc>
        <w:tc>
          <w:tcPr>
            <w:tcW w:w="774" w:type="dxa"/>
            <w:shd w:val="clear" w:color="auto" w:fill="FFFFFF" w:themeFill="background1"/>
            <w:vAlign w:val="center"/>
          </w:tcPr>
          <w:p w14:paraId="340A076A" w14:textId="77777777" w:rsidR="00C3101E" w:rsidRPr="0033055B" w:rsidRDefault="00C3101E" w:rsidP="00244526">
            <w:pPr>
              <w:spacing w:after="0" w:line="240" w:lineRule="auto"/>
              <w:jc w:val="both"/>
              <w:rPr>
                <w:rFonts w:cstheme="minorHAnsi"/>
                <w:lang w:val="en-GB"/>
              </w:rPr>
            </w:pPr>
          </w:p>
        </w:tc>
        <w:tc>
          <w:tcPr>
            <w:tcW w:w="774" w:type="dxa"/>
            <w:shd w:val="clear" w:color="auto" w:fill="FFFFFF" w:themeFill="background1"/>
            <w:vAlign w:val="center"/>
          </w:tcPr>
          <w:p w14:paraId="7FCB435F" w14:textId="77777777" w:rsidR="00C3101E" w:rsidRPr="0033055B" w:rsidRDefault="00C3101E" w:rsidP="00244526">
            <w:pPr>
              <w:spacing w:after="0" w:line="240" w:lineRule="auto"/>
              <w:jc w:val="both"/>
              <w:rPr>
                <w:rFonts w:cstheme="minorHAnsi"/>
                <w:lang w:val="en-GB"/>
              </w:rPr>
            </w:pPr>
          </w:p>
        </w:tc>
        <w:tc>
          <w:tcPr>
            <w:tcW w:w="774" w:type="dxa"/>
            <w:shd w:val="clear" w:color="auto" w:fill="FFFFFF" w:themeFill="background1"/>
            <w:vAlign w:val="center"/>
          </w:tcPr>
          <w:p w14:paraId="33E499DC" w14:textId="77777777" w:rsidR="00C3101E" w:rsidRPr="0033055B" w:rsidRDefault="00C3101E" w:rsidP="00244526">
            <w:pPr>
              <w:spacing w:after="0" w:line="240" w:lineRule="auto"/>
              <w:jc w:val="both"/>
              <w:rPr>
                <w:rFonts w:cstheme="minorHAnsi"/>
                <w:lang w:val="en-GB"/>
              </w:rPr>
            </w:pPr>
          </w:p>
        </w:tc>
        <w:tc>
          <w:tcPr>
            <w:tcW w:w="774" w:type="dxa"/>
            <w:shd w:val="clear" w:color="auto" w:fill="FFFFFF" w:themeFill="background1"/>
            <w:vAlign w:val="center"/>
          </w:tcPr>
          <w:p w14:paraId="63EF5A9F" w14:textId="77777777" w:rsidR="00C3101E" w:rsidRPr="0033055B" w:rsidRDefault="00C3101E" w:rsidP="00244526">
            <w:pPr>
              <w:spacing w:after="0" w:line="240" w:lineRule="auto"/>
              <w:jc w:val="both"/>
              <w:rPr>
                <w:rFonts w:cstheme="minorHAnsi"/>
                <w:lang w:val="en-GB"/>
              </w:rPr>
            </w:pPr>
          </w:p>
        </w:tc>
        <w:tc>
          <w:tcPr>
            <w:tcW w:w="774" w:type="dxa"/>
            <w:shd w:val="clear" w:color="auto" w:fill="FFFFFF" w:themeFill="background1"/>
            <w:vAlign w:val="center"/>
          </w:tcPr>
          <w:p w14:paraId="70746D76" w14:textId="77777777" w:rsidR="00C3101E" w:rsidRPr="0033055B" w:rsidRDefault="00C3101E" w:rsidP="00244526">
            <w:pPr>
              <w:spacing w:after="0" w:line="240" w:lineRule="auto"/>
              <w:jc w:val="both"/>
              <w:rPr>
                <w:rFonts w:cstheme="minorHAnsi"/>
                <w:lang w:val="en-GB"/>
              </w:rPr>
            </w:pPr>
          </w:p>
        </w:tc>
        <w:tc>
          <w:tcPr>
            <w:tcW w:w="774" w:type="dxa"/>
            <w:shd w:val="clear" w:color="auto" w:fill="FFFFFF" w:themeFill="background1"/>
            <w:vAlign w:val="center"/>
          </w:tcPr>
          <w:p w14:paraId="3D9830B1" w14:textId="77777777" w:rsidR="00C3101E" w:rsidRPr="0033055B" w:rsidRDefault="00C3101E" w:rsidP="00244526">
            <w:pPr>
              <w:spacing w:after="0" w:line="240" w:lineRule="auto"/>
              <w:jc w:val="both"/>
              <w:rPr>
                <w:rFonts w:cstheme="minorHAnsi"/>
                <w:lang w:val="en-GB"/>
              </w:rPr>
            </w:pPr>
          </w:p>
        </w:tc>
      </w:tr>
      <w:tr w:rsidR="00C3101E" w:rsidRPr="0033055B" w14:paraId="3201A192" w14:textId="77777777" w:rsidTr="007563F9">
        <w:trPr>
          <w:trHeight w:val="811"/>
          <w:jc w:val="center"/>
        </w:trPr>
        <w:tc>
          <w:tcPr>
            <w:tcW w:w="1532" w:type="dxa"/>
            <w:shd w:val="clear" w:color="auto" w:fill="FFFFFF" w:themeFill="background1"/>
            <w:vAlign w:val="center"/>
          </w:tcPr>
          <w:p w14:paraId="593A3EFD" w14:textId="77777777" w:rsidR="00C3101E" w:rsidRPr="0033055B" w:rsidRDefault="00C3101E" w:rsidP="00FF07DC">
            <w:pPr>
              <w:snapToGrid w:val="0"/>
              <w:spacing w:after="0" w:line="240" w:lineRule="auto"/>
              <w:rPr>
                <w:rStyle w:val="WW8Num4z1"/>
                <w:rFonts w:asciiTheme="minorHAnsi" w:hAnsiTheme="minorHAnsi" w:cstheme="minorHAnsi"/>
                <w:bCs/>
                <w:i/>
              </w:rPr>
            </w:pPr>
            <w:r>
              <w:rPr>
                <w:rStyle w:val="italic1"/>
                <w:bCs/>
                <w:i w:val="0"/>
              </w:rPr>
              <w:t xml:space="preserve">(F) Transferimi i pritur i BRE-ve nga Shtetet tjera Anëtare dhe vendeve të treta </w:t>
            </w:r>
          </w:p>
        </w:tc>
        <w:tc>
          <w:tcPr>
            <w:tcW w:w="774" w:type="dxa"/>
            <w:shd w:val="clear" w:color="auto" w:fill="FFFFFF" w:themeFill="background1"/>
            <w:vAlign w:val="center"/>
          </w:tcPr>
          <w:p w14:paraId="2A8F5E95" w14:textId="77777777" w:rsidR="00C3101E" w:rsidRPr="0033055B" w:rsidRDefault="00C3101E" w:rsidP="00244526">
            <w:pPr>
              <w:spacing w:after="0" w:line="240" w:lineRule="auto"/>
              <w:jc w:val="both"/>
              <w:rPr>
                <w:rFonts w:cstheme="minorHAnsi"/>
                <w:lang w:val="en-GB"/>
              </w:rPr>
            </w:pPr>
          </w:p>
        </w:tc>
        <w:tc>
          <w:tcPr>
            <w:tcW w:w="774" w:type="dxa"/>
            <w:shd w:val="clear" w:color="auto" w:fill="FFFFFF" w:themeFill="background1"/>
            <w:vAlign w:val="center"/>
          </w:tcPr>
          <w:p w14:paraId="592C3878" w14:textId="77777777" w:rsidR="00C3101E" w:rsidRPr="0033055B" w:rsidRDefault="00C3101E" w:rsidP="00244526">
            <w:pPr>
              <w:spacing w:after="0" w:line="240" w:lineRule="auto"/>
              <w:jc w:val="both"/>
              <w:rPr>
                <w:rFonts w:cstheme="minorHAnsi"/>
                <w:lang w:val="en-GB"/>
              </w:rPr>
            </w:pPr>
          </w:p>
        </w:tc>
        <w:tc>
          <w:tcPr>
            <w:tcW w:w="774" w:type="dxa"/>
            <w:shd w:val="clear" w:color="auto" w:fill="FFFFFF" w:themeFill="background1"/>
            <w:vAlign w:val="center"/>
          </w:tcPr>
          <w:p w14:paraId="107F323B" w14:textId="77777777" w:rsidR="00C3101E" w:rsidRPr="0033055B" w:rsidRDefault="00C3101E" w:rsidP="00244526">
            <w:pPr>
              <w:spacing w:after="0" w:line="240" w:lineRule="auto"/>
              <w:jc w:val="both"/>
              <w:rPr>
                <w:rFonts w:cstheme="minorHAnsi"/>
                <w:lang w:val="en-GB"/>
              </w:rPr>
            </w:pPr>
          </w:p>
        </w:tc>
        <w:tc>
          <w:tcPr>
            <w:tcW w:w="774" w:type="dxa"/>
            <w:shd w:val="clear" w:color="auto" w:fill="FFFFFF" w:themeFill="background1"/>
            <w:vAlign w:val="center"/>
          </w:tcPr>
          <w:p w14:paraId="7AB6C4B7" w14:textId="77777777" w:rsidR="00C3101E" w:rsidRPr="0033055B" w:rsidRDefault="00C3101E" w:rsidP="00244526">
            <w:pPr>
              <w:spacing w:after="0" w:line="240" w:lineRule="auto"/>
              <w:jc w:val="both"/>
              <w:rPr>
                <w:rFonts w:cstheme="minorHAnsi"/>
                <w:lang w:val="en-GB"/>
              </w:rPr>
            </w:pPr>
          </w:p>
        </w:tc>
        <w:tc>
          <w:tcPr>
            <w:tcW w:w="774" w:type="dxa"/>
            <w:shd w:val="clear" w:color="auto" w:fill="FFFFFF" w:themeFill="background1"/>
            <w:vAlign w:val="center"/>
          </w:tcPr>
          <w:p w14:paraId="50A5A507" w14:textId="77777777" w:rsidR="00C3101E" w:rsidRPr="0033055B" w:rsidRDefault="00C3101E" w:rsidP="00244526">
            <w:pPr>
              <w:spacing w:after="0" w:line="240" w:lineRule="auto"/>
              <w:jc w:val="both"/>
              <w:rPr>
                <w:rFonts w:cstheme="minorHAnsi"/>
                <w:lang w:val="en-GB"/>
              </w:rPr>
            </w:pPr>
          </w:p>
        </w:tc>
        <w:tc>
          <w:tcPr>
            <w:tcW w:w="774" w:type="dxa"/>
            <w:shd w:val="clear" w:color="auto" w:fill="FFFFFF" w:themeFill="background1"/>
            <w:vAlign w:val="center"/>
          </w:tcPr>
          <w:p w14:paraId="7DB8E3D1" w14:textId="77777777" w:rsidR="00C3101E" w:rsidRPr="0033055B" w:rsidRDefault="00C3101E" w:rsidP="00244526">
            <w:pPr>
              <w:spacing w:after="0" w:line="240" w:lineRule="auto"/>
              <w:jc w:val="both"/>
              <w:rPr>
                <w:rFonts w:cstheme="minorHAnsi"/>
                <w:lang w:val="en-GB"/>
              </w:rPr>
            </w:pPr>
          </w:p>
        </w:tc>
        <w:tc>
          <w:tcPr>
            <w:tcW w:w="774" w:type="dxa"/>
            <w:shd w:val="clear" w:color="auto" w:fill="FFFFFF" w:themeFill="background1"/>
            <w:vAlign w:val="center"/>
          </w:tcPr>
          <w:p w14:paraId="3908C6CE" w14:textId="77777777" w:rsidR="00C3101E" w:rsidRPr="0033055B" w:rsidRDefault="00C3101E" w:rsidP="00244526">
            <w:pPr>
              <w:spacing w:after="0" w:line="240" w:lineRule="auto"/>
              <w:jc w:val="both"/>
              <w:rPr>
                <w:rFonts w:cstheme="minorHAnsi"/>
                <w:lang w:val="en-GB"/>
              </w:rPr>
            </w:pPr>
          </w:p>
        </w:tc>
        <w:tc>
          <w:tcPr>
            <w:tcW w:w="774" w:type="dxa"/>
            <w:shd w:val="clear" w:color="auto" w:fill="FFFFFF" w:themeFill="background1"/>
            <w:vAlign w:val="center"/>
          </w:tcPr>
          <w:p w14:paraId="20BFACAC" w14:textId="77777777" w:rsidR="00C3101E" w:rsidRPr="0033055B" w:rsidRDefault="00C3101E" w:rsidP="00244526">
            <w:pPr>
              <w:spacing w:after="0" w:line="240" w:lineRule="auto"/>
              <w:jc w:val="both"/>
              <w:rPr>
                <w:rFonts w:cstheme="minorHAnsi"/>
                <w:lang w:val="en-GB"/>
              </w:rPr>
            </w:pPr>
          </w:p>
        </w:tc>
        <w:tc>
          <w:tcPr>
            <w:tcW w:w="774" w:type="dxa"/>
            <w:shd w:val="clear" w:color="auto" w:fill="FFFFFF" w:themeFill="background1"/>
            <w:vAlign w:val="center"/>
          </w:tcPr>
          <w:p w14:paraId="7450022C" w14:textId="77777777" w:rsidR="00C3101E" w:rsidRPr="0033055B" w:rsidRDefault="00C3101E" w:rsidP="00244526">
            <w:pPr>
              <w:spacing w:after="0" w:line="240" w:lineRule="auto"/>
              <w:jc w:val="both"/>
              <w:rPr>
                <w:rFonts w:cstheme="minorHAnsi"/>
                <w:lang w:val="en-GB"/>
              </w:rPr>
            </w:pPr>
          </w:p>
        </w:tc>
        <w:tc>
          <w:tcPr>
            <w:tcW w:w="774" w:type="dxa"/>
            <w:shd w:val="clear" w:color="auto" w:fill="FFFFFF" w:themeFill="background1"/>
            <w:vAlign w:val="center"/>
          </w:tcPr>
          <w:p w14:paraId="3C703AF6" w14:textId="77777777" w:rsidR="00C3101E" w:rsidRPr="0033055B" w:rsidRDefault="00C3101E" w:rsidP="00244526">
            <w:pPr>
              <w:spacing w:after="0" w:line="240" w:lineRule="auto"/>
              <w:jc w:val="both"/>
              <w:rPr>
                <w:rFonts w:cstheme="minorHAnsi"/>
                <w:lang w:val="en-GB"/>
              </w:rPr>
            </w:pPr>
          </w:p>
        </w:tc>
        <w:tc>
          <w:tcPr>
            <w:tcW w:w="774" w:type="dxa"/>
            <w:shd w:val="clear" w:color="auto" w:fill="FFFFFF" w:themeFill="background1"/>
            <w:vAlign w:val="center"/>
          </w:tcPr>
          <w:p w14:paraId="3892B547" w14:textId="77777777" w:rsidR="00C3101E" w:rsidRPr="0033055B" w:rsidRDefault="00C3101E" w:rsidP="00244526">
            <w:pPr>
              <w:spacing w:after="0" w:line="240" w:lineRule="auto"/>
              <w:jc w:val="both"/>
              <w:rPr>
                <w:rFonts w:cstheme="minorHAnsi"/>
                <w:lang w:val="en-GB"/>
              </w:rPr>
            </w:pPr>
          </w:p>
        </w:tc>
        <w:tc>
          <w:tcPr>
            <w:tcW w:w="774" w:type="dxa"/>
            <w:shd w:val="clear" w:color="auto" w:fill="FFFFFF" w:themeFill="background1"/>
            <w:vAlign w:val="center"/>
          </w:tcPr>
          <w:p w14:paraId="6F412A53" w14:textId="77777777" w:rsidR="00C3101E" w:rsidRPr="0033055B" w:rsidRDefault="00C3101E" w:rsidP="00244526">
            <w:pPr>
              <w:spacing w:after="0" w:line="240" w:lineRule="auto"/>
              <w:jc w:val="both"/>
              <w:rPr>
                <w:rFonts w:cstheme="minorHAnsi"/>
                <w:lang w:val="en-GB"/>
              </w:rPr>
            </w:pPr>
          </w:p>
        </w:tc>
      </w:tr>
      <w:tr w:rsidR="00FF3FF2" w:rsidRPr="0033055B" w14:paraId="67747C07" w14:textId="77777777" w:rsidTr="007563F9">
        <w:trPr>
          <w:trHeight w:val="1608"/>
          <w:jc w:val="center"/>
        </w:trPr>
        <w:tc>
          <w:tcPr>
            <w:tcW w:w="1532" w:type="dxa"/>
            <w:shd w:val="clear" w:color="auto" w:fill="FFFFFF" w:themeFill="background1"/>
            <w:vAlign w:val="center"/>
          </w:tcPr>
          <w:p w14:paraId="03A03BC7" w14:textId="77777777" w:rsidR="00FF3FF2" w:rsidRPr="0033055B" w:rsidRDefault="00FF3FF2" w:rsidP="00FF3FF2">
            <w:pPr>
              <w:snapToGrid w:val="0"/>
              <w:spacing w:after="0" w:line="240" w:lineRule="auto"/>
              <w:rPr>
                <w:rStyle w:val="italic1"/>
                <w:rFonts w:cstheme="minorHAnsi"/>
                <w:bCs/>
                <w:i w:val="0"/>
              </w:rPr>
            </w:pPr>
            <w:r>
              <w:rPr>
                <w:rStyle w:val="italic1"/>
                <w:bCs/>
                <w:i w:val="0"/>
              </w:rPr>
              <w:t>(G) Konsumi i pritur i BRE-ve korrigjuar për cakun (D)-(E)+(F)</w:t>
            </w:r>
          </w:p>
        </w:tc>
        <w:tc>
          <w:tcPr>
            <w:tcW w:w="774" w:type="dxa"/>
            <w:shd w:val="clear" w:color="auto" w:fill="FFFFFF" w:themeFill="background1"/>
            <w:vAlign w:val="center"/>
          </w:tcPr>
          <w:p w14:paraId="3521FDB0" w14:textId="77777777" w:rsidR="00FF3FF2" w:rsidRPr="0033055B" w:rsidRDefault="00FF3FF2" w:rsidP="00FF3FF2">
            <w:pPr>
              <w:spacing w:after="0" w:line="240" w:lineRule="auto"/>
              <w:jc w:val="both"/>
              <w:rPr>
                <w:rFonts w:cstheme="minorHAnsi"/>
              </w:rPr>
            </w:pPr>
            <w:r>
              <w:t>240.3</w:t>
            </w:r>
          </w:p>
        </w:tc>
        <w:tc>
          <w:tcPr>
            <w:tcW w:w="774" w:type="dxa"/>
            <w:shd w:val="clear" w:color="auto" w:fill="FFFFFF" w:themeFill="background1"/>
            <w:vAlign w:val="center"/>
          </w:tcPr>
          <w:p w14:paraId="740E0BD8" w14:textId="77777777" w:rsidR="00FF3FF2" w:rsidRPr="0033055B" w:rsidRDefault="00FF3FF2" w:rsidP="00FF3FF2">
            <w:pPr>
              <w:spacing w:after="0" w:line="240" w:lineRule="auto"/>
              <w:jc w:val="both"/>
              <w:rPr>
                <w:rFonts w:cstheme="minorHAnsi"/>
              </w:rPr>
            </w:pPr>
            <w:r>
              <w:t>243.1</w:t>
            </w:r>
          </w:p>
        </w:tc>
        <w:tc>
          <w:tcPr>
            <w:tcW w:w="774" w:type="dxa"/>
            <w:shd w:val="clear" w:color="auto" w:fill="FFFFFF" w:themeFill="background1"/>
            <w:vAlign w:val="center"/>
          </w:tcPr>
          <w:p w14:paraId="59E9658A" w14:textId="77777777" w:rsidR="00FF3FF2" w:rsidRPr="0033055B" w:rsidRDefault="00FF3FF2" w:rsidP="00FF3FF2">
            <w:pPr>
              <w:spacing w:after="0" w:line="240" w:lineRule="auto"/>
              <w:jc w:val="both"/>
              <w:rPr>
                <w:rFonts w:cstheme="minorHAnsi"/>
              </w:rPr>
            </w:pPr>
            <w:r>
              <w:t>249.4</w:t>
            </w:r>
          </w:p>
        </w:tc>
        <w:tc>
          <w:tcPr>
            <w:tcW w:w="774" w:type="dxa"/>
            <w:shd w:val="clear" w:color="auto" w:fill="FFFFFF" w:themeFill="background1"/>
            <w:vAlign w:val="center"/>
          </w:tcPr>
          <w:p w14:paraId="69E93393" w14:textId="77777777" w:rsidR="00FF3FF2" w:rsidRPr="0033055B" w:rsidRDefault="00FF3FF2" w:rsidP="00FF3FF2">
            <w:pPr>
              <w:spacing w:after="0" w:line="240" w:lineRule="auto"/>
              <w:jc w:val="both"/>
              <w:rPr>
                <w:rFonts w:cstheme="minorHAnsi"/>
              </w:rPr>
            </w:pPr>
            <w:r>
              <w:t>255.6</w:t>
            </w:r>
          </w:p>
        </w:tc>
        <w:tc>
          <w:tcPr>
            <w:tcW w:w="774" w:type="dxa"/>
            <w:shd w:val="clear" w:color="auto" w:fill="FFFFFF" w:themeFill="background1"/>
            <w:vAlign w:val="center"/>
          </w:tcPr>
          <w:p w14:paraId="326C8371" w14:textId="77777777" w:rsidR="00FF3FF2" w:rsidRPr="0033055B" w:rsidRDefault="00FF3FF2" w:rsidP="00FF3FF2">
            <w:pPr>
              <w:spacing w:after="0" w:line="240" w:lineRule="auto"/>
              <w:jc w:val="both"/>
              <w:rPr>
                <w:rFonts w:cstheme="minorHAnsi"/>
              </w:rPr>
            </w:pPr>
            <w:r>
              <w:t>256.6</w:t>
            </w:r>
          </w:p>
        </w:tc>
        <w:tc>
          <w:tcPr>
            <w:tcW w:w="774" w:type="dxa"/>
            <w:shd w:val="clear" w:color="auto" w:fill="FFFFFF" w:themeFill="background1"/>
            <w:vAlign w:val="center"/>
          </w:tcPr>
          <w:p w14:paraId="07FB5541" w14:textId="77777777" w:rsidR="00FF3FF2" w:rsidRPr="0033055B" w:rsidRDefault="00FF3FF2" w:rsidP="00FF3FF2">
            <w:pPr>
              <w:spacing w:after="0" w:line="240" w:lineRule="auto"/>
              <w:jc w:val="both"/>
              <w:rPr>
                <w:rFonts w:cstheme="minorHAnsi"/>
              </w:rPr>
            </w:pPr>
            <w:r>
              <w:t>261.3</w:t>
            </w:r>
          </w:p>
        </w:tc>
        <w:tc>
          <w:tcPr>
            <w:tcW w:w="774" w:type="dxa"/>
            <w:shd w:val="clear" w:color="auto" w:fill="FFFFFF" w:themeFill="background1"/>
            <w:vAlign w:val="center"/>
          </w:tcPr>
          <w:p w14:paraId="500251DD" w14:textId="77777777" w:rsidR="00FF3FF2" w:rsidRPr="0033055B" w:rsidRDefault="00FF3FF2" w:rsidP="00FF3FF2">
            <w:pPr>
              <w:spacing w:after="0" w:line="240" w:lineRule="auto"/>
              <w:jc w:val="both"/>
              <w:rPr>
                <w:rFonts w:cstheme="minorHAnsi"/>
              </w:rPr>
            </w:pPr>
            <w:r>
              <w:t>273.6</w:t>
            </w:r>
          </w:p>
        </w:tc>
        <w:tc>
          <w:tcPr>
            <w:tcW w:w="774" w:type="dxa"/>
            <w:shd w:val="clear" w:color="auto" w:fill="FFFFFF" w:themeFill="background1"/>
            <w:vAlign w:val="center"/>
          </w:tcPr>
          <w:p w14:paraId="040B6E6B" w14:textId="77777777" w:rsidR="00FF3FF2" w:rsidRPr="0033055B" w:rsidRDefault="00FF3FF2" w:rsidP="00FF3FF2">
            <w:pPr>
              <w:spacing w:after="0" w:line="240" w:lineRule="auto"/>
              <w:jc w:val="both"/>
              <w:rPr>
                <w:rFonts w:cstheme="minorHAnsi"/>
              </w:rPr>
            </w:pPr>
            <w:r>
              <w:t>292.4</w:t>
            </w:r>
          </w:p>
        </w:tc>
        <w:tc>
          <w:tcPr>
            <w:tcW w:w="774" w:type="dxa"/>
            <w:shd w:val="clear" w:color="auto" w:fill="FFFFFF" w:themeFill="background1"/>
            <w:vAlign w:val="center"/>
          </w:tcPr>
          <w:p w14:paraId="4597BE43" w14:textId="77777777" w:rsidR="00FF3FF2" w:rsidRPr="0033055B" w:rsidRDefault="00FF3FF2" w:rsidP="00FF3FF2">
            <w:pPr>
              <w:spacing w:after="0" w:line="240" w:lineRule="auto"/>
              <w:jc w:val="both"/>
              <w:rPr>
                <w:rFonts w:cstheme="minorHAnsi"/>
              </w:rPr>
            </w:pPr>
            <w:r>
              <w:t>292.4</w:t>
            </w:r>
          </w:p>
        </w:tc>
        <w:tc>
          <w:tcPr>
            <w:tcW w:w="774" w:type="dxa"/>
            <w:shd w:val="clear" w:color="auto" w:fill="FFFFFF" w:themeFill="background1"/>
            <w:vAlign w:val="center"/>
          </w:tcPr>
          <w:p w14:paraId="696ADD70" w14:textId="53BBBB2F" w:rsidR="00FF3FF2" w:rsidRPr="0033055B" w:rsidRDefault="00FF3FF2" w:rsidP="00FF3FF2">
            <w:pPr>
              <w:spacing w:after="0" w:line="240" w:lineRule="auto"/>
              <w:jc w:val="both"/>
              <w:rPr>
                <w:rFonts w:cstheme="minorHAnsi"/>
              </w:rPr>
            </w:pPr>
            <w:r>
              <w:t>319.6.3</w:t>
            </w:r>
          </w:p>
        </w:tc>
        <w:tc>
          <w:tcPr>
            <w:tcW w:w="774" w:type="dxa"/>
            <w:shd w:val="clear" w:color="auto" w:fill="FFFFFF" w:themeFill="background1"/>
            <w:vAlign w:val="center"/>
          </w:tcPr>
          <w:p w14:paraId="43BE0E5E" w14:textId="77777777" w:rsidR="00FF3FF2" w:rsidRPr="0033055B" w:rsidRDefault="00FF3FF2" w:rsidP="00FF3FF2">
            <w:pPr>
              <w:spacing w:after="0" w:line="240" w:lineRule="auto"/>
              <w:jc w:val="both"/>
              <w:rPr>
                <w:rFonts w:cstheme="minorHAnsi"/>
              </w:rPr>
            </w:pPr>
            <w:r>
              <w:t>360.4</w:t>
            </w:r>
          </w:p>
        </w:tc>
        <w:tc>
          <w:tcPr>
            <w:tcW w:w="774" w:type="dxa"/>
            <w:shd w:val="clear" w:color="auto" w:fill="FFFFFF" w:themeFill="background1"/>
            <w:vAlign w:val="center"/>
          </w:tcPr>
          <w:p w14:paraId="6D3A0F93" w14:textId="77777777" w:rsidR="00FF3FF2" w:rsidRPr="0033055B" w:rsidRDefault="00FF3FF2" w:rsidP="00FF3FF2">
            <w:pPr>
              <w:spacing w:after="0" w:line="240" w:lineRule="auto"/>
              <w:jc w:val="both"/>
              <w:rPr>
                <w:rFonts w:cstheme="minorHAnsi"/>
              </w:rPr>
            </w:pPr>
            <w:r>
              <w:t>434.6</w:t>
            </w:r>
          </w:p>
        </w:tc>
      </w:tr>
    </w:tbl>
    <w:p w14:paraId="7AC6FBAB" w14:textId="77777777" w:rsidR="00995F89" w:rsidRPr="0033055B" w:rsidRDefault="00995F89" w:rsidP="005E4A0E">
      <w:pPr>
        <w:spacing w:before="120" w:after="120" w:line="240" w:lineRule="auto"/>
        <w:jc w:val="both"/>
        <w:rPr>
          <w:rFonts w:cstheme="minorHAnsi"/>
          <w:lang w:val="en-GB"/>
        </w:rPr>
      </w:pPr>
    </w:p>
    <w:p w14:paraId="3EB1DB3D" w14:textId="77777777" w:rsidR="00E2203F" w:rsidRPr="0033055B" w:rsidRDefault="00E2203F" w:rsidP="005E4A0E">
      <w:pPr>
        <w:spacing w:before="120" w:after="120" w:line="240" w:lineRule="auto"/>
        <w:jc w:val="both"/>
        <w:rPr>
          <w:rFonts w:cstheme="minorHAnsi"/>
          <w:lang w:val="en-GB"/>
        </w:rPr>
      </w:pPr>
    </w:p>
    <w:p w14:paraId="48348069" w14:textId="23E5FAD6" w:rsidR="005E4A0E" w:rsidRPr="0033055B" w:rsidRDefault="00E2203F" w:rsidP="00FF07DC">
      <w:pPr>
        <w:spacing w:before="120" w:after="120" w:line="240" w:lineRule="auto"/>
        <w:jc w:val="center"/>
        <w:rPr>
          <w:rFonts w:cstheme="minorHAnsi"/>
          <w:b/>
        </w:rPr>
      </w:pPr>
      <w:bookmarkStart w:id="21" w:name="_Toc518377700"/>
      <w:r>
        <w:rPr>
          <w:rFonts w:ascii="Calibri" w:hAnsi="Calibri"/>
          <w:b/>
          <w:iCs/>
        </w:rPr>
        <w:t xml:space="preserve">Tabela </w:t>
      </w:r>
      <w:r w:rsidR="00724C64" w:rsidRPr="0033055B">
        <w:rPr>
          <w:rFonts w:ascii="Calibri" w:eastAsia="Calibri" w:hAnsi="Calibri"/>
          <w:b/>
          <w:iCs/>
        </w:rPr>
        <w:fldChar w:fldCharType="begin"/>
      </w:r>
      <w:r w:rsidRPr="0033055B">
        <w:rPr>
          <w:rFonts w:ascii="Calibri" w:eastAsia="Calibri" w:hAnsi="Calibri"/>
          <w:b/>
          <w:iCs/>
        </w:rPr>
        <w:instrText xml:space="preserve"> SEQ Table \* ARABIC </w:instrText>
      </w:r>
      <w:r w:rsidR="00724C64" w:rsidRPr="0033055B">
        <w:rPr>
          <w:rFonts w:ascii="Calibri" w:eastAsia="Calibri" w:hAnsi="Calibri"/>
          <w:b/>
          <w:iCs/>
        </w:rPr>
        <w:fldChar w:fldCharType="separate"/>
      </w:r>
      <w:r w:rsidR="00DC4741">
        <w:rPr>
          <w:rFonts w:ascii="Calibri" w:eastAsia="Calibri" w:hAnsi="Calibri"/>
          <w:b/>
          <w:iCs/>
          <w:noProof/>
        </w:rPr>
        <w:t>8</w:t>
      </w:r>
      <w:r w:rsidR="00724C64" w:rsidRPr="0033055B">
        <w:rPr>
          <w:rFonts w:ascii="Calibri" w:eastAsia="Calibri" w:hAnsi="Calibri"/>
          <w:b/>
          <w:iCs/>
        </w:rPr>
        <w:fldChar w:fldCharType="end"/>
      </w:r>
      <w:r>
        <w:rPr>
          <w:b/>
        </w:rPr>
        <w:t>: Tabela e kalkulimit për energjinë e ripërtërishme në hisen e transportit.</w:t>
      </w:r>
      <w:bookmarkEnd w:id="21"/>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1975"/>
        <w:gridCol w:w="727"/>
        <w:gridCol w:w="728"/>
        <w:gridCol w:w="727"/>
        <w:gridCol w:w="728"/>
        <w:gridCol w:w="727"/>
        <w:gridCol w:w="728"/>
        <w:gridCol w:w="727"/>
        <w:gridCol w:w="728"/>
        <w:gridCol w:w="727"/>
        <w:gridCol w:w="728"/>
        <w:gridCol w:w="727"/>
        <w:gridCol w:w="728"/>
      </w:tblGrid>
      <w:tr w:rsidR="00FF07DC" w:rsidRPr="0033055B" w14:paraId="199D41DE" w14:textId="77777777" w:rsidTr="00FF07DC">
        <w:trPr>
          <w:jc w:val="center"/>
        </w:trPr>
        <w:tc>
          <w:tcPr>
            <w:tcW w:w="1975" w:type="dxa"/>
            <w:shd w:val="clear" w:color="auto" w:fill="D9D9D9" w:themeFill="background1" w:themeFillShade="D9"/>
          </w:tcPr>
          <w:p w14:paraId="212F2067" w14:textId="77777777" w:rsidR="00F91663" w:rsidRPr="0033055B" w:rsidRDefault="00F91663" w:rsidP="00771301">
            <w:pPr>
              <w:spacing w:after="0" w:line="240" w:lineRule="auto"/>
              <w:jc w:val="both"/>
              <w:rPr>
                <w:rFonts w:cstheme="minorHAnsi"/>
                <w:b/>
              </w:rPr>
            </w:pPr>
            <w:r>
              <w:rPr>
                <w:b/>
              </w:rPr>
              <w:t>(ktoe)</w:t>
            </w:r>
          </w:p>
        </w:tc>
        <w:tc>
          <w:tcPr>
            <w:tcW w:w="727" w:type="dxa"/>
            <w:shd w:val="clear" w:color="auto" w:fill="D9D9D9" w:themeFill="background1" w:themeFillShade="D9"/>
          </w:tcPr>
          <w:p w14:paraId="27FAC43F" w14:textId="20A0CB90" w:rsidR="00F91663" w:rsidRPr="0033055B" w:rsidRDefault="00F91663" w:rsidP="00771301">
            <w:pPr>
              <w:pStyle w:val="NormalWeb"/>
              <w:snapToGrid w:val="0"/>
              <w:spacing w:before="0" w:after="0"/>
              <w:jc w:val="both"/>
              <w:rPr>
                <w:rStyle w:val="italic1"/>
                <w:rFonts w:asciiTheme="minorHAnsi" w:hAnsiTheme="minorHAnsi" w:cstheme="minorHAnsi"/>
                <w:b/>
                <w:bCs/>
                <w:i w:val="0"/>
                <w:sz w:val="22"/>
                <w:szCs w:val="22"/>
              </w:rPr>
            </w:pPr>
            <w:r>
              <w:rPr>
                <w:rStyle w:val="italic1"/>
                <w:rFonts w:asciiTheme="minorHAnsi" w:hAnsiTheme="minorHAnsi"/>
                <w:b/>
                <w:bCs/>
                <w:i w:val="0"/>
                <w:sz w:val="22"/>
                <w:szCs w:val="22"/>
              </w:rPr>
              <w:t>2009</w:t>
            </w:r>
          </w:p>
        </w:tc>
        <w:tc>
          <w:tcPr>
            <w:tcW w:w="728" w:type="dxa"/>
            <w:shd w:val="clear" w:color="auto" w:fill="D9D9D9" w:themeFill="background1" w:themeFillShade="D9"/>
          </w:tcPr>
          <w:p w14:paraId="5A475A89" w14:textId="77777777" w:rsidR="00F91663" w:rsidRPr="0033055B" w:rsidRDefault="00F91663" w:rsidP="00771301">
            <w:pPr>
              <w:pStyle w:val="NormalWeb"/>
              <w:snapToGrid w:val="0"/>
              <w:spacing w:before="0" w:after="0"/>
              <w:jc w:val="both"/>
              <w:rPr>
                <w:rStyle w:val="italic1"/>
                <w:rFonts w:asciiTheme="minorHAnsi" w:hAnsiTheme="minorHAnsi" w:cstheme="minorHAnsi"/>
                <w:b/>
                <w:bCs/>
                <w:i w:val="0"/>
                <w:sz w:val="22"/>
                <w:szCs w:val="22"/>
              </w:rPr>
            </w:pPr>
            <w:r>
              <w:rPr>
                <w:rStyle w:val="italic1"/>
                <w:rFonts w:asciiTheme="minorHAnsi" w:hAnsiTheme="minorHAnsi"/>
                <w:b/>
                <w:bCs/>
                <w:i w:val="0"/>
                <w:sz w:val="22"/>
                <w:szCs w:val="22"/>
              </w:rPr>
              <w:t>2010</w:t>
            </w:r>
          </w:p>
        </w:tc>
        <w:tc>
          <w:tcPr>
            <w:tcW w:w="727" w:type="dxa"/>
            <w:shd w:val="clear" w:color="auto" w:fill="D9D9D9" w:themeFill="background1" w:themeFillShade="D9"/>
          </w:tcPr>
          <w:p w14:paraId="7E6915B4" w14:textId="77777777" w:rsidR="00F91663" w:rsidRPr="0033055B" w:rsidRDefault="00F91663" w:rsidP="00771301">
            <w:pPr>
              <w:pStyle w:val="NormalWeb"/>
              <w:snapToGrid w:val="0"/>
              <w:spacing w:before="0" w:after="0"/>
              <w:jc w:val="both"/>
              <w:rPr>
                <w:rStyle w:val="italic1"/>
                <w:rFonts w:asciiTheme="minorHAnsi" w:hAnsiTheme="minorHAnsi" w:cstheme="minorHAnsi"/>
                <w:b/>
                <w:bCs/>
                <w:i w:val="0"/>
                <w:sz w:val="22"/>
                <w:szCs w:val="22"/>
              </w:rPr>
            </w:pPr>
            <w:r>
              <w:rPr>
                <w:rStyle w:val="italic1"/>
                <w:rFonts w:asciiTheme="minorHAnsi" w:hAnsiTheme="minorHAnsi"/>
                <w:b/>
                <w:bCs/>
                <w:i w:val="0"/>
                <w:sz w:val="22"/>
                <w:szCs w:val="22"/>
              </w:rPr>
              <w:t>2011</w:t>
            </w:r>
          </w:p>
        </w:tc>
        <w:tc>
          <w:tcPr>
            <w:tcW w:w="728" w:type="dxa"/>
            <w:shd w:val="clear" w:color="auto" w:fill="D9D9D9" w:themeFill="background1" w:themeFillShade="D9"/>
          </w:tcPr>
          <w:p w14:paraId="207295BA" w14:textId="77777777" w:rsidR="00F91663" w:rsidRPr="0033055B" w:rsidRDefault="00F91663" w:rsidP="00771301">
            <w:pPr>
              <w:pStyle w:val="NormalWeb"/>
              <w:snapToGrid w:val="0"/>
              <w:spacing w:before="0" w:after="0"/>
              <w:jc w:val="both"/>
              <w:rPr>
                <w:rStyle w:val="italic1"/>
                <w:rFonts w:asciiTheme="minorHAnsi" w:hAnsiTheme="minorHAnsi" w:cstheme="minorHAnsi"/>
                <w:b/>
                <w:bCs/>
                <w:i w:val="0"/>
                <w:sz w:val="22"/>
                <w:szCs w:val="22"/>
              </w:rPr>
            </w:pPr>
            <w:r>
              <w:rPr>
                <w:rStyle w:val="italic1"/>
                <w:rFonts w:asciiTheme="minorHAnsi" w:hAnsiTheme="minorHAnsi"/>
                <w:b/>
                <w:bCs/>
                <w:i w:val="0"/>
                <w:sz w:val="22"/>
                <w:szCs w:val="22"/>
              </w:rPr>
              <w:t>2012</w:t>
            </w:r>
          </w:p>
        </w:tc>
        <w:tc>
          <w:tcPr>
            <w:tcW w:w="727" w:type="dxa"/>
            <w:shd w:val="clear" w:color="auto" w:fill="D9D9D9" w:themeFill="background1" w:themeFillShade="D9"/>
          </w:tcPr>
          <w:p w14:paraId="66E6B372" w14:textId="77777777" w:rsidR="00F91663" w:rsidRPr="0033055B" w:rsidRDefault="00F91663" w:rsidP="00771301">
            <w:pPr>
              <w:pStyle w:val="NormalWeb"/>
              <w:snapToGrid w:val="0"/>
              <w:spacing w:before="0" w:after="0"/>
              <w:jc w:val="both"/>
              <w:rPr>
                <w:rStyle w:val="italic1"/>
                <w:rFonts w:asciiTheme="minorHAnsi" w:hAnsiTheme="minorHAnsi" w:cstheme="minorHAnsi"/>
                <w:b/>
                <w:bCs/>
                <w:i w:val="0"/>
                <w:sz w:val="22"/>
                <w:szCs w:val="22"/>
              </w:rPr>
            </w:pPr>
            <w:r>
              <w:rPr>
                <w:rStyle w:val="italic1"/>
                <w:rFonts w:asciiTheme="minorHAnsi" w:hAnsiTheme="minorHAnsi"/>
                <w:b/>
                <w:bCs/>
                <w:i w:val="0"/>
                <w:sz w:val="22"/>
                <w:szCs w:val="22"/>
              </w:rPr>
              <w:t>2013</w:t>
            </w:r>
          </w:p>
        </w:tc>
        <w:tc>
          <w:tcPr>
            <w:tcW w:w="728" w:type="dxa"/>
            <w:shd w:val="clear" w:color="auto" w:fill="D9D9D9" w:themeFill="background1" w:themeFillShade="D9"/>
          </w:tcPr>
          <w:p w14:paraId="3B7F0311" w14:textId="77777777" w:rsidR="00F91663" w:rsidRPr="0033055B" w:rsidRDefault="00F91663" w:rsidP="00771301">
            <w:pPr>
              <w:pStyle w:val="NormalWeb"/>
              <w:snapToGrid w:val="0"/>
              <w:spacing w:before="0" w:after="0"/>
              <w:jc w:val="both"/>
              <w:rPr>
                <w:rStyle w:val="italic1"/>
                <w:rFonts w:asciiTheme="minorHAnsi" w:hAnsiTheme="minorHAnsi" w:cstheme="minorHAnsi"/>
                <w:b/>
                <w:bCs/>
                <w:i w:val="0"/>
                <w:sz w:val="22"/>
                <w:szCs w:val="22"/>
              </w:rPr>
            </w:pPr>
            <w:r>
              <w:rPr>
                <w:rStyle w:val="italic1"/>
                <w:rFonts w:asciiTheme="minorHAnsi" w:hAnsiTheme="minorHAnsi"/>
                <w:b/>
                <w:bCs/>
                <w:i w:val="0"/>
                <w:sz w:val="22"/>
                <w:szCs w:val="22"/>
              </w:rPr>
              <w:t>2014</w:t>
            </w:r>
          </w:p>
        </w:tc>
        <w:tc>
          <w:tcPr>
            <w:tcW w:w="727" w:type="dxa"/>
            <w:shd w:val="clear" w:color="auto" w:fill="D9D9D9" w:themeFill="background1" w:themeFillShade="D9"/>
          </w:tcPr>
          <w:p w14:paraId="12A5772C" w14:textId="77777777" w:rsidR="00F91663" w:rsidRPr="0033055B" w:rsidRDefault="00F91663" w:rsidP="00771301">
            <w:pPr>
              <w:pStyle w:val="NormalWeb"/>
              <w:snapToGrid w:val="0"/>
              <w:spacing w:before="0" w:after="0"/>
              <w:jc w:val="both"/>
              <w:rPr>
                <w:rStyle w:val="italic1"/>
                <w:rFonts w:asciiTheme="minorHAnsi" w:hAnsiTheme="minorHAnsi" w:cstheme="minorHAnsi"/>
                <w:b/>
                <w:bCs/>
                <w:i w:val="0"/>
                <w:sz w:val="22"/>
                <w:szCs w:val="22"/>
              </w:rPr>
            </w:pPr>
            <w:r>
              <w:rPr>
                <w:rStyle w:val="italic1"/>
                <w:rFonts w:asciiTheme="minorHAnsi" w:hAnsiTheme="minorHAnsi"/>
                <w:b/>
                <w:bCs/>
                <w:i w:val="0"/>
                <w:sz w:val="22"/>
                <w:szCs w:val="22"/>
              </w:rPr>
              <w:t>2015</w:t>
            </w:r>
          </w:p>
        </w:tc>
        <w:tc>
          <w:tcPr>
            <w:tcW w:w="728" w:type="dxa"/>
            <w:shd w:val="clear" w:color="auto" w:fill="D9D9D9" w:themeFill="background1" w:themeFillShade="D9"/>
          </w:tcPr>
          <w:p w14:paraId="70D99E36" w14:textId="77777777" w:rsidR="00F91663" w:rsidRPr="0033055B" w:rsidRDefault="00F91663" w:rsidP="00771301">
            <w:pPr>
              <w:pStyle w:val="NormalWeb"/>
              <w:snapToGrid w:val="0"/>
              <w:spacing w:before="0" w:after="0"/>
              <w:jc w:val="both"/>
              <w:rPr>
                <w:rStyle w:val="italic1"/>
                <w:rFonts w:asciiTheme="minorHAnsi" w:hAnsiTheme="minorHAnsi" w:cstheme="minorHAnsi"/>
                <w:b/>
                <w:bCs/>
                <w:i w:val="0"/>
                <w:sz w:val="22"/>
                <w:szCs w:val="22"/>
              </w:rPr>
            </w:pPr>
            <w:r>
              <w:rPr>
                <w:rStyle w:val="italic1"/>
                <w:rFonts w:asciiTheme="minorHAnsi" w:hAnsiTheme="minorHAnsi"/>
                <w:b/>
                <w:bCs/>
                <w:i w:val="0"/>
                <w:sz w:val="22"/>
                <w:szCs w:val="22"/>
              </w:rPr>
              <w:t>2016</w:t>
            </w:r>
          </w:p>
        </w:tc>
        <w:tc>
          <w:tcPr>
            <w:tcW w:w="727" w:type="dxa"/>
            <w:shd w:val="clear" w:color="auto" w:fill="D9D9D9" w:themeFill="background1" w:themeFillShade="D9"/>
          </w:tcPr>
          <w:p w14:paraId="6797658A" w14:textId="77777777" w:rsidR="00F91663" w:rsidRPr="0033055B" w:rsidRDefault="00F91663" w:rsidP="00771301">
            <w:pPr>
              <w:pStyle w:val="NormalWeb"/>
              <w:snapToGrid w:val="0"/>
              <w:spacing w:before="0" w:after="0"/>
              <w:jc w:val="both"/>
              <w:rPr>
                <w:rStyle w:val="italic1"/>
                <w:rFonts w:asciiTheme="minorHAnsi" w:hAnsiTheme="minorHAnsi" w:cstheme="minorHAnsi"/>
                <w:b/>
                <w:bCs/>
                <w:i w:val="0"/>
                <w:sz w:val="22"/>
                <w:szCs w:val="22"/>
              </w:rPr>
            </w:pPr>
            <w:r>
              <w:rPr>
                <w:rStyle w:val="italic1"/>
                <w:rFonts w:asciiTheme="minorHAnsi" w:hAnsiTheme="minorHAnsi"/>
                <w:b/>
                <w:bCs/>
                <w:i w:val="0"/>
                <w:sz w:val="22"/>
                <w:szCs w:val="22"/>
              </w:rPr>
              <w:t>2017</w:t>
            </w:r>
          </w:p>
        </w:tc>
        <w:tc>
          <w:tcPr>
            <w:tcW w:w="728" w:type="dxa"/>
            <w:shd w:val="clear" w:color="auto" w:fill="D9D9D9" w:themeFill="background1" w:themeFillShade="D9"/>
          </w:tcPr>
          <w:p w14:paraId="361F5CF0" w14:textId="77777777" w:rsidR="00F91663" w:rsidRPr="0033055B" w:rsidRDefault="00F91663" w:rsidP="00771301">
            <w:pPr>
              <w:pStyle w:val="NormalWeb"/>
              <w:snapToGrid w:val="0"/>
              <w:spacing w:before="0" w:after="0"/>
              <w:jc w:val="both"/>
              <w:rPr>
                <w:rStyle w:val="italic1"/>
                <w:rFonts w:asciiTheme="minorHAnsi" w:hAnsiTheme="minorHAnsi" w:cstheme="minorHAnsi"/>
                <w:b/>
                <w:bCs/>
                <w:i w:val="0"/>
                <w:sz w:val="22"/>
                <w:szCs w:val="22"/>
              </w:rPr>
            </w:pPr>
            <w:r>
              <w:rPr>
                <w:rStyle w:val="italic1"/>
                <w:rFonts w:asciiTheme="minorHAnsi" w:hAnsiTheme="minorHAnsi"/>
                <w:b/>
                <w:bCs/>
                <w:i w:val="0"/>
                <w:sz w:val="22"/>
                <w:szCs w:val="22"/>
              </w:rPr>
              <w:t>2018</w:t>
            </w:r>
          </w:p>
        </w:tc>
        <w:tc>
          <w:tcPr>
            <w:tcW w:w="727" w:type="dxa"/>
            <w:shd w:val="clear" w:color="auto" w:fill="D9D9D9" w:themeFill="background1" w:themeFillShade="D9"/>
          </w:tcPr>
          <w:p w14:paraId="6C3D3C0D" w14:textId="77777777" w:rsidR="00F91663" w:rsidRPr="0033055B" w:rsidRDefault="00F91663" w:rsidP="00771301">
            <w:pPr>
              <w:pStyle w:val="NormalWeb"/>
              <w:snapToGrid w:val="0"/>
              <w:spacing w:before="0" w:after="0"/>
              <w:jc w:val="both"/>
              <w:rPr>
                <w:rStyle w:val="italic1"/>
                <w:rFonts w:asciiTheme="minorHAnsi" w:hAnsiTheme="minorHAnsi" w:cstheme="minorHAnsi"/>
                <w:b/>
                <w:bCs/>
                <w:i w:val="0"/>
                <w:sz w:val="22"/>
                <w:szCs w:val="22"/>
              </w:rPr>
            </w:pPr>
            <w:r>
              <w:rPr>
                <w:rStyle w:val="italic1"/>
                <w:rFonts w:asciiTheme="minorHAnsi" w:hAnsiTheme="minorHAnsi"/>
                <w:b/>
                <w:bCs/>
                <w:i w:val="0"/>
                <w:sz w:val="22"/>
                <w:szCs w:val="22"/>
              </w:rPr>
              <w:t>2019</w:t>
            </w:r>
          </w:p>
        </w:tc>
        <w:tc>
          <w:tcPr>
            <w:tcW w:w="728" w:type="dxa"/>
            <w:shd w:val="clear" w:color="auto" w:fill="D9D9D9" w:themeFill="background1" w:themeFillShade="D9"/>
          </w:tcPr>
          <w:p w14:paraId="0435A8E6" w14:textId="77777777" w:rsidR="00F91663" w:rsidRPr="0033055B" w:rsidRDefault="00F91663" w:rsidP="00B973C7">
            <w:pPr>
              <w:jc w:val="center"/>
              <w:rPr>
                <w:rStyle w:val="italic1"/>
                <w:rFonts w:cstheme="minorHAnsi"/>
                <w:b/>
                <w:bCs/>
                <w:i w:val="0"/>
              </w:rPr>
            </w:pPr>
            <w:r>
              <w:rPr>
                <w:rStyle w:val="italic1"/>
                <w:b/>
                <w:bCs/>
                <w:i w:val="0"/>
              </w:rPr>
              <w:t>2020</w:t>
            </w:r>
          </w:p>
        </w:tc>
      </w:tr>
      <w:tr w:rsidR="00E2203F" w:rsidRPr="0033055B" w14:paraId="29C67E6D" w14:textId="77777777" w:rsidTr="00FF07DC">
        <w:trPr>
          <w:jc w:val="center"/>
        </w:trPr>
        <w:tc>
          <w:tcPr>
            <w:tcW w:w="1975" w:type="dxa"/>
            <w:shd w:val="clear" w:color="auto" w:fill="FFFFFF" w:themeFill="background1"/>
          </w:tcPr>
          <w:p w14:paraId="40F4B1F9" w14:textId="77777777" w:rsidR="00E2203F" w:rsidRPr="0033055B" w:rsidRDefault="00E2203F" w:rsidP="00E2203F">
            <w:pPr>
              <w:pStyle w:val="NormalWeb"/>
              <w:snapToGrid w:val="0"/>
              <w:spacing w:before="0" w:after="0"/>
              <w:rPr>
                <w:rFonts w:asciiTheme="minorHAnsi" w:hAnsiTheme="minorHAnsi" w:cstheme="minorHAnsi"/>
                <w:sz w:val="22"/>
                <w:szCs w:val="22"/>
              </w:rPr>
            </w:pPr>
            <w:r>
              <w:rPr>
                <w:rStyle w:val="italic1"/>
                <w:rFonts w:asciiTheme="minorHAnsi" w:hAnsiTheme="minorHAnsi"/>
                <w:bCs/>
                <w:i w:val="0"/>
                <w:sz w:val="22"/>
                <w:szCs w:val="22"/>
              </w:rPr>
              <w:t xml:space="preserve">(C) Konsumi i pritur i BRE-ve në transport </w:t>
            </w:r>
            <w:r w:rsidRPr="0033055B">
              <w:rPr>
                <w:rStyle w:val="FootnoteReference"/>
                <w:rFonts w:asciiTheme="minorHAnsi" w:hAnsiTheme="minorHAnsi" w:cstheme="minorHAnsi"/>
                <w:bCs/>
                <w:iCs/>
                <w:sz w:val="22"/>
                <w:szCs w:val="22"/>
              </w:rPr>
              <w:footnoteReference w:id="18"/>
            </w:r>
          </w:p>
        </w:tc>
        <w:tc>
          <w:tcPr>
            <w:tcW w:w="727" w:type="dxa"/>
            <w:shd w:val="clear" w:color="auto" w:fill="FFFFFF" w:themeFill="background1"/>
            <w:vAlign w:val="center"/>
          </w:tcPr>
          <w:p w14:paraId="065C6C83" w14:textId="77777777" w:rsidR="00E2203F" w:rsidRPr="0033055B" w:rsidRDefault="00E2203F" w:rsidP="00E2203F">
            <w:pPr>
              <w:spacing w:after="0" w:line="240" w:lineRule="auto"/>
              <w:jc w:val="both"/>
              <w:rPr>
                <w:rFonts w:cstheme="minorHAnsi"/>
              </w:rPr>
            </w:pPr>
            <w:r>
              <w:t>0.0</w:t>
            </w:r>
          </w:p>
        </w:tc>
        <w:tc>
          <w:tcPr>
            <w:tcW w:w="728" w:type="dxa"/>
            <w:shd w:val="clear" w:color="auto" w:fill="FFFFFF" w:themeFill="background1"/>
            <w:vAlign w:val="center"/>
          </w:tcPr>
          <w:p w14:paraId="22BB82E8" w14:textId="77777777" w:rsidR="00E2203F" w:rsidRPr="0033055B" w:rsidRDefault="00E2203F" w:rsidP="00E2203F">
            <w:pPr>
              <w:spacing w:after="0" w:line="240" w:lineRule="auto"/>
              <w:jc w:val="both"/>
              <w:rPr>
                <w:rFonts w:cstheme="minorHAnsi"/>
              </w:rPr>
            </w:pPr>
            <w:r>
              <w:t>0.0</w:t>
            </w:r>
          </w:p>
        </w:tc>
        <w:tc>
          <w:tcPr>
            <w:tcW w:w="727" w:type="dxa"/>
            <w:shd w:val="clear" w:color="auto" w:fill="FFFFFF" w:themeFill="background1"/>
            <w:vAlign w:val="center"/>
          </w:tcPr>
          <w:p w14:paraId="0E99C34B" w14:textId="77777777" w:rsidR="00E2203F" w:rsidRPr="0033055B" w:rsidRDefault="00E2203F" w:rsidP="00E2203F">
            <w:pPr>
              <w:spacing w:after="0" w:line="240" w:lineRule="auto"/>
              <w:jc w:val="both"/>
              <w:rPr>
                <w:rFonts w:cstheme="minorHAnsi"/>
              </w:rPr>
            </w:pPr>
            <w:r>
              <w:t>0,0</w:t>
            </w:r>
          </w:p>
        </w:tc>
        <w:tc>
          <w:tcPr>
            <w:tcW w:w="728" w:type="dxa"/>
            <w:shd w:val="clear" w:color="auto" w:fill="FFFFFF" w:themeFill="background1"/>
            <w:vAlign w:val="center"/>
          </w:tcPr>
          <w:p w14:paraId="3BE5D2E3" w14:textId="77777777" w:rsidR="00E2203F" w:rsidRPr="0033055B" w:rsidRDefault="00E2203F" w:rsidP="00E2203F">
            <w:pPr>
              <w:spacing w:after="0" w:line="240" w:lineRule="auto"/>
              <w:jc w:val="both"/>
              <w:rPr>
                <w:rFonts w:cstheme="minorHAnsi"/>
              </w:rPr>
            </w:pPr>
            <w:r>
              <w:t>0.0</w:t>
            </w:r>
          </w:p>
        </w:tc>
        <w:tc>
          <w:tcPr>
            <w:tcW w:w="727" w:type="dxa"/>
            <w:shd w:val="clear" w:color="auto" w:fill="FFFFFF" w:themeFill="background1"/>
            <w:vAlign w:val="center"/>
          </w:tcPr>
          <w:p w14:paraId="7AD8229B" w14:textId="77777777" w:rsidR="00E2203F" w:rsidRPr="0033055B" w:rsidRDefault="00E2203F" w:rsidP="00E2203F">
            <w:pPr>
              <w:spacing w:after="0" w:line="240" w:lineRule="auto"/>
              <w:jc w:val="both"/>
              <w:rPr>
                <w:rFonts w:cstheme="minorHAnsi"/>
              </w:rPr>
            </w:pPr>
            <w:r>
              <w:t>0.0</w:t>
            </w:r>
          </w:p>
        </w:tc>
        <w:tc>
          <w:tcPr>
            <w:tcW w:w="728" w:type="dxa"/>
            <w:shd w:val="clear" w:color="auto" w:fill="FFFFFF" w:themeFill="background1"/>
            <w:vAlign w:val="center"/>
          </w:tcPr>
          <w:p w14:paraId="50B493D6" w14:textId="77777777" w:rsidR="00E2203F" w:rsidRPr="0033055B" w:rsidRDefault="00E2203F" w:rsidP="00E2203F">
            <w:pPr>
              <w:spacing w:after="0" w:line="240" w:lineRule="auto"/>
              <w:jc w:val="both"/>
              <w:rPr>
                <w:rFonts w:cstheme="minorHAnsi"/>
              </w:rPr>
            </w:pPr>
            <w:r>
              <w:t>0.0</w:t>
            </w:r>
          </w:p>
        </w:tc>
        <w:tc>
          <w:tcPr>
            <w:tcW w:w="727" w:type="dxa"/>
            <w:shd w:val="clear" w:color="auto" w:fill="FFFFFF" w:themeFill="background1"/>
            <w:vAlign w:val="center"/>
          </w:tcPr>
          <w:p w14:paraId="3A985893" w14:textId="77777777" w:rsidR="00E2203F" w:rsidRPr="0033055B" w:rsidRDefault="00E2203F" w:rsidP="00E2203F">
            <w:pPr>
              <w:spacing w:after="0" w:line="240" w:lineRule="auto"/>
              <w:jc w:val="both"/>
              <w:rPr>
                <w:rFonts w:cstheme="minorHAnsi"/>
              </w:rPr>
            </w:pPr>
            <w:r>
              <w:t>0.0</w:t>
            </w:r>
          </w:p>
        </w:tc>
        <w:tc>
          <w:tcPr>
            <w:tcW w:w="728" w:type="dxa"/>
            <w:shd w:val="clear" w:color="auto" w:fill="FFFFFF" w:themeFill="background1"/>
            <w:vAlign w:val="center"/>
          </w:tcPr>
          <w:p w14:paraId="018AE575" w14:textId="77777777" w:rsidR="00E2203F" w:rsidRPr="0033055B" w:rsidRDefault="00E2203F" w:rsidP="00E2203F">
            <w:pPr>
              <w:spacing w:after="0" w:line="240" w:lineRule="auto"/>
              <w:jc w:val="both"/>
              <w:rPr>
                <w:rFonts w:cstheme="minorHAnsi"/>
              </w:rPr>
            </w:pPr>
            <w:r>
              <w:t>0.0</w:t>
            </w:r>
          </w:p>
        </w:tc>
        <w:tc>
          <w:tcPr>
            <w:tcW w:w="727" w:type="dxa"/>
            <w:shd w:val="clear" w:color="auto" w:fill="FFFFFF" w:themeFill="background1"/>
            <w:vAlign w:val="center"/>
          </w:tcPr>
          <w:p w14:paraId="48917C1D" w14:textId="77777777" w:rsidR="00E2203F" w:rsidRPr="0033055B" w:rsidRDefault="00E2203F" w:rsidP="00E2203F">
            <w:pPr>
              <w:spacing w:after="0" w:line="240" w:lineRule="auto"/>
              <w:jc w:val="both"/>
              <w:rPr>
                <w:rFonts w:cstheme="minorHAnsi"/>
              </w:rPr>
            </w:pPr>
            <w:r>
              <w:t>0.0</w:t>
            </w:r>
          </w:p>
        </w:tc>
        <w:tc>
          <w:tcPr>
            <w:tcW w:w="728" w:type="dxa"/>
            <w:shd w:val="clear" w:color="auto" w:fill="FFFFFF" w:themeFill="background1"/>
            <w:vAlign w:val="center"/>
          </w:tcPr>
          <w:p w14:paraId="105350BC" w14:textId="4417EE43" w:rsidR="00E2203F" w:rsidRPr="0033055B" w:rsidRDefault="00091742" w:rsidP="00E2203F">
            <w:pPr>
              <w:spacing w:after="0" w:line="240" w:lineRule="auto"/>
              <w:jc w:val="both"/>
              <w:rPr>
                <w:rFonts w:cstheme="minorHAnsi"/>
              </w:rPr>
            </w:pPr>
            <w:r>
              <w:t>0.0</w:t>
            </w:r>
          </w:p>
        </w:tc>
        <w:tc>
          <w:tcPr>
            <w:tcW w:w="727" w:type="dxa"/>
            <w:shd w:val="clear" w:color="auto" w:fill="FFFFFF" w:themeFill="background1"/>
            <w:vAlign w:val="center"/>
          </w:tcPr>
          <w:p w14:paraId="674D0653" w14:textId="77777777" w:rsidR="00E2203F" w:rsidRPr="0033055B" w:rsidRDefault="00E2203F" w:rsidP="00E2203F">
            <w:pPr>
              <w:spacing w:after="0" w:line="240" w:lineRule="auto"/>
              <w:jc w:val="both"/>
              <w:rPr>
                <w:rFonts w:cstheme="minorHAnsi"/>
              </w:rPr>
            </w:pPr>
            <w:r>
              <w:t>19.5</w:t>
            </w:r>
          </w:p>
        </w:tc>
        <w:tc>
          <w:tcPr>
            <w:tcW w:w="728" w:type="dxa"/>
            <w:shd w:val="clear" w:color="auto" w:fill="FFFFFF" w:themeFill="background1"/>
            <w:vAlign w:val="center"/>
          </w:tcPr>
          <w:p w14:paraId="10F889AD" w14:textId="77777777" w:rsidR="00E2203F" w:rsidRPr="0033055B" w:rsidRDefault="00E2203F" w:rsidP="00E2203F">
            <w:pPr>
              <w:spacing w:after="0" w:line="240" w:lineRule="auto"/>
              <w:jc w:val="both"/>
              <w:rPr>
                <w:rFonts w:cstheme="minorHAnsi"/>
              </w:rPr>
            </w:pPr>
            <w:r>
              <w:t>39.7</w:t>
            </w:r>
          </w:p>
        </w:tc>
      </w:tr>
      <w:tr w:rsidR="00FF07DC" w:rsidRPr="0033055B" w14:paraId="177A4524" w14:textId="77777777" w:rsidTr="00FF07DC">
        <w:trPr>
          <w:jc w:val="center"/>
        </w:trPr>
        <w:tc>
          <w:tcPr>
            <w:tcW w:w="1975" w:type="dxa"/>
            <w:shd w:val="clear" w:color="auto" w:fill="FFFFFF" w:themeFill="background1"/>
          </w:tcPr>
          <w:p w14:paraId="3EECE780" w14:textId="77777777" w:rsidR="00F91663" w:rsidRPr="0033055B" w:rsidRDefault="00F91663" w:rsidP="00FF07DC">
            <w:pPr>
              <w:pStyle w:val="NormalWeb"/>
              <w:snapToGrid w:val="0"/>
              <w:spacing w:before="0" w:after="0"/>
              <w:rPr>
                <w:rStyle w:val="italic1"/>
                <w:rFonts w:asciiTheme="minorHAnsi" w:hAnsiTheme="minorHAnsi" w:cstheme="minorHAnsi"/>
                <w:bCs/>
                <w:i w:val="0"/>
                <w:sz w:val="22"/>
                <w:szCs w:val="22"/>
              </w:rPr>
            </w:pPr>
            <w:r>
              <w:rPr>
                <w:rStyle w:val="italic1"/>
                <w:rFonts w:asciiTheme="minorHAnsi" w:hAnsiTheme="minorHAnsi"/>
                <w:bCs/>
                <w:i w:val="0"/>
                <w:sz w:val="22"/>
                <w:szCs w:val="22"/>
              </w:rPr>
              <w:t>(H) Energjia elektrike BRE e pritur në transportin rrugor</w:t>
            </w:r>
            <w:bookmarkStart w:id="22" w:name="_Ref246218731"/>
            <w:r w:rsidRPr="0033055B">
              <w:rPr>
                <w:rStyle w:val="FootnoteReference"/>
                <w:rFonts w:asciiTheme="minorHAnsi" w:hAnsiTheme="minorHAnsi" w:cstheme="minorHAnsi"/>
                <w:bCs/>
                <w:iCs/>
                <w:sz w:val="22"/>
                <w:szCs w:val="22"/>
              </w:rPr>
              <w:footnoteReference w:id="19"/>
            </w:r>
            <w:bookmarkEnd w:id="22"/>
          </w:p>
        </w:tc>
        <w:tc>
          <w:tcPr>
            <w:tcW w:w="727" w:type="dxa"/>
            <w:shd w:val="clear" w:color="auto" w:fill="FFFFFF" w:themeFill="background1"/>
            <w:vAlign w:val="center"/>
          </w:tcPr>
          <w:p w14:paraId="2179F36B" w14:textId="77777777" w:rsidR="00F91663" w:rsidRPr="0033055B" w:rsidRDefault="00F91663" w:rsidP="00771301">
            <w:pPr>
              <w:spacing w:after="0" w:line="240" w:lineRule="auto"/>
              <w:jc w:val="both"/>
              <w:rPr>
                <w:rFonts w:cstheme="minorHAnsi"/>
                <w:lang w:val="en-GB"/>
              </w:rPr>
            </w:pPr>
          </w:p>
        </w:tc>
        <w:tc>
          <w:tcPr>
            <w:tcW w:w="728" w:type="dxa"/>
            <w:shd w:val="clear" w:color="auto" w:fill="FFFFFF" w:themeFill="background1"/>
            <w:vAlign w:val="center"/>
          </w:tcPr>
          <w:p w14:paraId="5E7C0225" w14:textId="77777777" w:rsidR="00F91663" w:rsidRPr="0033055B" w:rsidRDefault="00F91663" w:rsidP="00771301">
            <w:pPr>
              <w:spacing w:after="0" w:line="240" w:lineRule="auto"/>
              <w:jc w:val="both"/>
              <w:rPr>
                <w:rFonts w:cstheme="minorHAnsi"/>
                <w:lang w:val="en-GB"/>
              </w:rPr>
            </w:pPr>
          </w:p>
        </w:tc>
        <w:tc>
          <w:tcPr>
            <w:tcW w:w="727" w:type="dxa"/>
            <w:shd w:val="clear" w:color="auto" w:fill="FFFFFF" w:themeFill="background1"/>
            <w:vAlign w:val="center"/>
          </w:tcPr>
          <w:p w14:paraId="566B4112" w14:textId="77777777" w:rsidR="00F91663" w:rsidRPr="0033055B" w:rsidRDefault="00F91663" w:rsidP="00771301">
            <w:pPr>
              <w:spacing w:after="0" w:line="240" w:lineRule="auto"/>
              <w:jc w:val="both"/>
              <w:rPr>
                <w:rFonts w:cstheme="minorHAnsi"/>
                <w:lang w:val="en-GB"/>
              </w:rPr>
            </w:pPr>
          </w:p>
        </w:tc>
        <w:tc>
          <w:tcPr>
            <w:tcW w:w="728" w:type="dxa"/>
            <w:shd w:val="clear" w:color="auto" w:fill="FFFFFF" w:themeFill="background1"/>
            <w:vAlign w:val="center"/>
          </w:tcPr>
          <w:p w14:paraId="6BAC4480" w14:textId="77777777" w:rsidR="00F91663" w:rsidRPr="0033055B" w:rsidRDefault="00F91663" w:rsidP="00771301">
            <w:pPr>
              <w:spacing w:after="0" w:line="240" w:lineRule="auto"/>
              <w:jc w:val="both"/>
              <w:rPr>
                <w:rFonts w:cstheme="minorHAnsi"/>
                <w:lang w:val="en-GB"/>
              </w:rPr>
            </w:pPr>
          </w:p>
        </w:tc>
        <w:tc>
          <w:tcPr>
            <w:tcW w:w="727" w:type="dxa"/>
            <w:shd w:val="clear" w:color="auto" w:fill="FFFFFF" w:themeFill="background1"/>
            <w:vAlign w:val="center"/>
          </w:tcPr>
          <w:p w14:paraId="4ACCD118" w14:textId="77777777" w:rsidR="00F91663" w:rsidRPr="0033055B" w:rsidRDefault="00F91663" w:rsidP="00771301">
            <w:pPr>
              <w:spacing w:after="0" w:line="240" w:lineRule="auto"/>
              <w:jc w:val="both"/>
              <w:rPr>
                <w:rFonts w:cstheme="minorHAnsi"/>
                <w:lang w:val="en-GB"/>
              </w:rPr>
            </w:pPr>
          </w:p>
        </w:tc>
        <w:tc>
          <w:tcPr>
            <w:tcW w:w="728" w:type="dxa"/>
            <w:shd w:val="clear" w:color="auto" w:fill="FFFFFF" w:themeFill="background1"/>
            <w:vAlign w:val="center"/>
          </w:tcPr>
          <w:p w14:paraId="2E7E6375" w14:textId="77777777" w:rsidR="00F91663" w:rsidRPr="0033055B" w:rsidRDefault="00F91663" w:rsidP="00771301">
            <w:pPr>
              <w:spacing w:after="0" w:line="240" w:lineRule="auto"/>
              <w:jc w:val="both"/>
              <w:rPr>
                <w:rFonts w:cstheme="minorHAnsi"/>
                <w:lang w:val="en-GB"/>
              </w:rPr>
            </w:pPr>
          </w:p>
        </w:tc>
        <w:tc>
          <w:tcPr>
            <w:tcW w:w="727" w:type="dxa"/>
            <w:shd w:val="clear" w:color="auto" w:fill="FFFFFF" w:themeFill="background1"/>
            <w:vAlign w:val="center"/>
          </w:tcPr>
          <w:p w14:paraId="41BA3BE5" w14:textId="77777777" w:rsidR="00F91663" w:rsidRPr="0033055B" w:rsidRDefault="00F91663" w:rsidP="00771301">
            <w:pPr>
              <w:spacing w:after="0" w:line="240" w:lineRule="auto"/>
              <w:jc w:val="both"/>
              <w:rPr>
                <w:rFonts w:cstheme="minorHAnsi"/>
                <w:lang w:val="en-GB"/>
              </w:rPr>
            </w:pPr>
          </w:p>
        </w:tc>
        <w:tc>
          <w:tcPr>
            <w:tcW w:w="728" w:type="dxa"/>
            <w:shd w:val="clear" w:color="auto" w:fill="FFFFFF" w:themeFill="background1"/>
            <w:vAlign w:val="center"/>
          </w:tcPr>
          <w:p w14:paraId="2098A978" w14:textId="77777777" w:rsidR="00F91663" w:rsidRPr="0033055B" w:rsidRDefault="00F91663" w:rsidP="00771301">
            <w:pPr>
              <w:spacing w:after="0" w:line="240" w:lineRule="auto"/>
              <w:jc w:val="both"/>
              <w:rPr>
                <w:rFonts w:cstheme="minorHAnsi"/>
                <w:lang w:val="en-GB"/>
              </w:rPr>
            </w:pPr>
          </w:p>
        </w:tc>
        <w:tc>
          <w:tcPr>
            <w:tcW w:w="727" w:type="dxa"/>
            <w:shd w:val="clear" w:color="auto" w:fill="FFFFFF" w:themeFill="background1"/>
            <w:vAlign w:val="center"/>
          </w:tcPr>
          <w:p w14:paraId="1BAA1BF1" w14:textId="77777777" w:rsidR="00F91663" w:rsidRPr="0033055B" w:rsidRDefault="00F91663" w:rsidP="00771301">
            <w:pPr>
              <w:spacing w:after="0" w:line="240" w:lineRule="auto"/>
              <w:jc w:val="both"/>
              <w:rPr>
                <w:rFonts w:cstheme="minorHAnsi"/>
                <w:lang w:val="en-GB"/>
              </w:rPr>
            </w:pPr>
          </w:p>
        </w:tc>
        <w:tc>
          <w:tcPr>
            <w:tcW w:w="728" w:type="dxa"/>
            <w:shd w:val="clear" w:color="auto" w:fill="FFFFFF" w:themeFill="background1"/>
            <w:vAlign w:val="center"/>
          </w:tcPr>
          <w:p w14:paraId="67FE9AA1" w14:textId="77777777" w:rsidR="00F91663" w:rsidRPr="0033055B" w:rsidRDefault="00F91663" w:rsidP="00771301">
            <w:pPr>
              <w:spacing w:after="0" w:line="240" w:lineRule="auto"/>
              <w:jc w:val="both"/>
              <w:rPr>
                <w:rFonts w:cstheme="minorHAnsi"/>
                <w:lang w:val="en-GB"/>
              </w:rPr>
            </w:pPr>
          </w:p>
        </w:tc>
        <w:tc>
          <w:tcPr>
            <w:tcW w:w="727" w:type="dxa"/>
            <w:shd w:val="clear" w:color="auto" w:fill="FFFFFF" w:themeFill="background1"/>
            <w:vAlign w:val="center"/>
          </w:tcPr>
          <w:p w14:paraId="2D7F0787" w14:textId="77777777" w:rsidR="00F91663" w:rsidRPr="0033055B" w:rsidRDefault="00F91663" w:rsidP="00771301">
            <w:pPr>
              <w:spacing w:after="0" w:line="240" w:lineRule="auto"/>
              <w:jc w:val="both"/>
              <w:rPr>
                <w:rFonts w:cstheme="minorHAnsi"/>
                <w:lang w:val="en-GB"/>
              </w:rPr>
            </w:pPr>
          </w:p>
        </w:tc>
        <w:tc>
          <w:tcPr>
            <w:tcW w:w="728" w:type="dxa"/>
            <w:shd w:val="clear" w:color="auto" w:fill="FFFFFF" w:themeFill="background1"/>
            <w:vAlign w:val="center"/>
          </w:tcPr>
          <w:p w14:paraId="7D50953D" w14:textId="77777777" w:rsidR="00F91663" w:rsidRPr="0033055B" w:rsidRDefault="00F91663" w:rsidP="00771301">
            <w:pPr>
              <w:spacing w:after="0" w:line="240" w:lineRule="auto"/>
              <w:jc w:val="both"/>
              <w:rPr>
                <w:rFonts w:cstheme="minorHAnsi"/>
                <w:lang w:val="en-GB"/>
              </w:rPr>
            </w:pPr>
          </w:p>
        </w:tc>
      </w:tr>
      <w:tr w:rsidR="00FF07DC" w:rsidRPr="0033055B" w14:paraId="04BB2FBB" w14:textId="77777777" w:rsidTr="00FF07DC">
        <w:trPr>
          <w:jc w:val="center"/>
        </w:trPr>
        <w:tc>
          <w:tcPr>
            <w:tcW w:w="1975" w:type="dxa"/>
            <w:shd w:val="clear" w:color="auto" w:fill="FFFFFF" w:themeFill="background1"/>
          </w:tcPr>
          <w:p w14:paraId="48BB32D8" w14:textId="77777777" w:rsidR="00F91663" w:rsidRPr="0033055B" w:rsidRDefault="00F91663" w:rsidP="00FF07DC">
            <w:pPr>
              <w:pStyle w:val="NormalWeb"/>
              <w:snapToGrid w:val="0"/>
              <w:spacing w:before="0" w:after="0"/>
              <w:rPr>
                <w:rStyle w:val="italic1"/>
                <w:rFonts w:asciiTheme="minorHAnsi" w:hAnsiTheme="minorHAnsi" w:cstheme="minorHAnsi"/>
                <w:bCs/>
                <w:i w:val="0"/>
                <w:sz w:val="22"/>
                <w:szCs w:val="22"/>
              </w:rPr>
            </w:pPr>
            <w:r>
              <w:rPr>
                <w:rStyle w:val="italic1"/>
                <w:rFonts w:asciiTheme="minorHAnsi" w:hAnsiTheme="minorHAnsi"/>
                <w:bCs/>
                <w:i w:val="0"/>
                <w:sz w:val="22"/>
                <w:szCs w:val="22"/>
              </w:rPr>
              <w:t xml:space="preserve">(I) </w:t>
            </w:r>
            <w:r>
              <w:rPr>
                <w:rFonts w:asciiTheme="minorHAnsi" w:hAnsiTheme="minorHAnsi"/>
                <w:bCs/>
                <w:iCs/>
                <w:sz w:val="22"/>
                <w:szCs w:val="22"/>
              </w:rPr>
              <w:t xml:space="preserve">Konsumi i pritur i bio-karburanteve nga mbeturinat, materialet celuloide jo-ushqimore dhe lingo-celuloide në transport </w:t>
            </w:r>
          </w:p>
        </w:tc>
        <w:tc>
          <w:tcPr>
            <w:tcW w:w="727" w:type="dxa"/>
            <w:shd w:val="clear" w:color="auto" w:fill="FFFFFF" w:themeFill="background1"/>
            <w:vAlign w:val="center"/>
          </w:tcPr>
          <w:p w14:paraId="509A6E38" w14:textId="77777777" w:rsidR="00F91663" w:rsidRPr="0033055B" w:rsidRDefault="00F91663" w:rsidP="00771301">
            <w:pPr>
              <w:spacing w:after="0" w:line="240" w:lineRule="auto"/>
              <w:jc w:val="both"/>
              <w:rPr>
                <w:rFonts w:cstheme="minorHAnsi"/>
                <w:lang w:val="en-GB"/>
              </w:rPr>
            </w:pPr>
          </w:p>
        </w:tc>
        <w:tc>
          <w:tcPr>
            <w:tcW w:w="728" w:type="dxa"/>
            <w:shd w:val="clear" w:color="auto" w:fill="FFFFFF" w:themeFill="background1"/>
            <w:vAlign w:val="center"/>
          </w:tcPr>
          <w:p w14:paraId="4F834DCF" w14:textId="77777777" w:rsidR="00F91663" w:rsidRPr="0033055B" w:rsidRDefault="00F91663" w:rsidP="00771301">
            <w:pPr>
              <w:spacing w:after="0" w:line="240" w:lineRule="auto"/>
              <w:jc w:val="both"/>
              <w:rPr>
                <w:rFonts w:cstheme="minorHAnsi"/>
                <w:lang w:val="en-GB"/>
              </w:rPr>
            </w:pPr>
          </w:p>
        </w:tc>
        <w:tc>
          <w:tcPr>
            <w:tcW w:w="727" w:type="dxa"/>
            <w:shd w:val="clear" w:color="auto" w:fill="FFFFFF" w:themeFill="background1"/>
            <w:vAlign w:val="center"/>
          </w:tcPr>
          <w:p w14:paraId="7B4CD483" w14:textId="77777777" w:rsidR="00F91663" w:rsidRPr="0033055B" w:rsidRDefault="00F91663" w:rsidP="00771301">
            <w:pPr>
              <w:spacing w:after="0" w:line="240" w:lineRule="auto"/>
              <w:jc w:val="both"/>
              <w:rPr>
                <w:rFonts w:cstheme="minorHAnsi"/>
                <w:lang w:val="en-GB"/>
              </w:rPr>
            </w:pPr>
          </w:p>
        </w:tc>
        <w:tc>
          <w:tcPr>
            <w:tcW w:w="728" w:type="dxa"/>
            <w:shd w:val="clear" w:color="auto" w:fill="FFFFFF" w:themeFill="background1"/>
            <w:vAlign w:val="center"/>
          </w:tcPr>
          <w:p w14:paraId="4D81AF62" w14:textId="77777777" w:rsidR="00F91663" w:rsidRPr="0033055B" w:rsidRDefault="00F91663" w:rsidP="00771301">
            <w:pPr>
              <w:spacing w:after="0" w:line="240" w:lineRule="auto"/>
              <w:jc w:val="both"/>
              <w:rPr>
                <w:rFonts w:cstheme="minorHAnsi"/>
                <w:lang w:val="en-GB"/>
              </w:rPr>
            </w:pPr>
          </w:p>
        </w:tc>
        <w:tc>
          <w:tcPr>
            <w:tcW w:w="727" w:type="dxa"/>
            <w:shd w:val="clear" w:color="auto" w:fill="FFFFFF" w:themeFill="background1"/>
            <w:vAlign w:val="center"/>
          </w:tcPr>
          <w:p w14:paraId="03321DF1" w14:textId="77777777" w:rsidR="00F91663" w:rsidRPr="0033055B" w:rsidRDefault="00F91663" w:rsidP="00771301">
            <w:pPr>
              <w:spacing w:after="0" w:line="240" w:lineRule="auto"/>
              <w:jc w:val="both"/>
              <w:rPr>
                <w:rFonts w:cstheme="minorHAnsi"/>
                <w:lang w:val="en-GB"/>
              </w:rPr>
            </w:pPr>
          </w:p>
        </w:tc>
        <w:tc>
          <w:tcPr>
            <w:tcW w:w="728" w:type="dxa"/>
            <w:shd w:val="clear" w:color="auto" w:fill="FFFFFF" w:themeFill="background1"/>
            <w:vAlign w:val="center"/>
          </w:tcPr>
          <w:p w14:paraId="34B36A23" w14:textId="77777777" w:rsidR="00F91663" w:rsidRPr="0033055B" w:rsidRDefault="00F91663" w:rsidP="00771301">
            <w:pPr>
              <w:spacing w:after="0" w:line="240" w:lineRule="auto"/>
              <w:jc w:val="both"/>
              <w:rPr>
                <w:rFonts w:cstheme="minorHAnsi"/>
                <w:lang w:val="en-GB"/>
              </w:rPr>
            </w:pPr>
          </w:p>
        </w:tc>
        <w:tc>
          <w:tcPr>
            <w:tcW w:w="727" w:type="dxa"/>
            <w:shd w:val="clear" w:color="auto" w:fill="FFFFFF" w:themeFill="background1"/>
            <w:vAlign w:val="center"/>
          </w:tcPr>
          <w:p w14:paraId="61FB9469" w14:textId="77777777" w:rsidR="00F91663" w:rsidRPr="0033055B" w:rsidRDefault="00F91663" w:rsidP="00771301">
            <w:pPr>
              <w:spacing w:after="0" w:line="240" w:lineRule="auto"/>
              <w:jc w:val="both"/>
              <w:rPr>
                <w:rFonts w:cstheme="minorHAnsi"/>
                <w:lang w:val="en-GB"/>
              </w:rPr>
            </w:pPr>
          </w:p>
        </w:tc>
        <w:tc>
          <w:tcPr>
            <w:tcW w:w="728" w:type="dxa"/>
            <w:shd w:val="clear" w:color="auto" w:fill="FFFFFF" w:themeFill="background1"/>
            <w:vAlign w:val="center"/>
          </w:tcPr>
          <w:p w14:paraId="0B796CDE" w14:textId="77777777" w:rsidR="00F91663" w:rsidRPr="0033055B" w:rsidRDefault="00F91663" w:rsidP="00771301">
            <w:pPr>
              <w:spacing w:after="0" w:line="240" w:lineRule="auto"/>
              <w:jc w:val="both"/>
              <w:rPr>
                <w:rFonts w:cstheme="minorHAnsi"/>
                <w:lang w:val="en-GB"/>
              </w:rPr>
            </w:pPr>
          </w:p>
        </w:tc>
        <w:tc>
          <w:tcPr>
            <w:tcW w:w="727" w:type="dxa"/>
            <w:shd w:val="clear" w:color="auto" w:fill="FFFFFF" w:themeFill="background1"/>
            <w:vAlign w:val="center"/>
          </w:tcPr>
          <w:p w14:paraId="4C5249A1" w14:textId="77777777" w:rsidR="00F91663" w:rsidRPr="0033055B" w:rsidRDefault="00F91663" w:rsidP="00771301">
            <w:pPr>
              <w:spacing w:after="0" w:line="240" w:lineRule="auto"/>
              <w:jc w:val="both"/>
              <w:rPr>
                <w:rFonts w:cstheme="minorHAnsi"/>
                <w:lang w:val="en-GB"/>
              </w:rPr>
            </w:pPr>
          </w:p>
        </w:tc>
        <w:tc>
          <w:tcPr>
            <w:tcW w:w="728" w:type="dxa"/>
            <w:shd w:val="clear" w:color="auto" w:fill="FFFFFF" w:themeFill="background1"/>
            <w:vAlign w:val="center"/>
          </w:tcPr>
          <w:p w14:paraId="0BDF7C2F" w14:textId="77777777" w:rsidR="00F91663" w:rsidRPr="0033055B" w:rsidRDefault="00F91663" w:rsidP="00771301">
            <w:pPr>
              <w:spacing w:after="0" w:line="240" w:lineRule="auto"/>
              <w:jc w:val="both"/>
              <w:rPr>
                <w:rFonts w:cstheme="minorHAnsi"/>
                <w:lang w:val="en-GB"/>
              </w:rPr>
            </w:pPr>
          </w:p>
        </w:tc>
        <w:tc>
          <w:tcPr>
            <w:tcW w:w="727" w:type="dxa"/>
            <w:shd w:val="clear" w:color="auto" w:fill="FFFFFF" w:themeFill="background1"/>
            <w:vAlign w:val="center"/>
          </w:tcPr>
          <w:p w14:paraId="17ABD09F" w14:textId="77777777" w:rsidR="00F91663" w:rsidRPr="0033055B" w:rsidRDefault="00F91663" w:rsidP="00771301">
            <w:pPr>
              <w:spacing w:after="0" w:line="240" w:lineRule="auto"/>
              <w:jc w:val="both"/>
              <w:rPr>
                <w:rFonts w:cstheme="minorHAnsi"/>
                <w:lang w:val="en-GB"/>
              </w:rPr>
            </w:pPr>
          </w:p>
        </w:tc>
        <w:tc>
          <w:tcPr>
            <w:tcW w:w="728" w:type="dxa"/>
            <w:shd w:val="clear" w:color="auto" w:fill="FFFFFF" w:themeFill="background1"/>
            <w:vAlign w:val="center"/>
          </w:tcPr>
          <w:p w14:paraId="356F2A6C" w14:textId="77777777" w:rsidR="00F91663" w:rsidRPr="0033055B" w:rsidRDefault="00F91663" w:rsidP="00771301">
            <w:pPr>
              <w:spacing w:after="0" w:line="240" w:lineRule="auto"/>
              <w:jc w:val="both"/>
              <w:rPr>
                <w:rFonts w:cstheme="minorHAnsi"/>
                <w:lang w:val="en-GB"/>
              </w:rPr>
            </w:pPr>
          </w:p>
        </w:tc>
      </w:tr>
      <w:tr w:rsidR="00E2203F" w:rsidRPr="0033055B" w14:paraId="15DCBB99" w14:textId="77777777" w:rsidTr="00FF07DC">
        <w:trPr>
          <w:jc w:val="center"/>
        </w:trPr>
        <w:tc>
          <w:tcPr>
            <w:tcW w:w="1975" w:type="dxa"/>
            <w:shd w:val="clear" w:color="auto" w:fill="FFFFFF" w:themeFill="background1"/>
          </w:tcPr>
          <w:p w14:paraId="1C22B8C8" w14:textId="596F00B6" w:rsidR="00E2203F" w:rsidRPr="0033055B" w:rsidRDefault="00E2203F">
            <w:pPr>
              <w:pStyle w:val="NormalWeb"/>
              <w:snapToGrid w:val="0"/>
              <w:spacing w:before="0" w:after="0"/>
              <w:rPr>
                <w:rStyle w:val="italic1"/>
                <w:rFonts w:asciiTheme="minorHAnsi" w:eastAsiaTheme="minorHAnsi" w:hAnsiTheme="minorHAnsi" w:cstheme="minorHAnsi"/>
                <w:bCs/>
                <w:i w:val="0"/>
                <w:sz w:val="22"/>
                <w:szCs w:val="22"/>
              </w:rPr>
            </w:pPr>
            <w:r>
              <w:rPr>
                <w:rStyle w:val="italic1"/>
                <w:rFonts w:asciiTheme="minorHAnsi" w:hAnsiTheme="minorHAnsi"/>
                <w:bCs/>
                <w:i w:val="0"/>
                <w:sz w:val="22"/>
                <w:szCs w:val="22"/>
              </w:rPr>
              <w:t xml:space="preserve">(J) Kontributi i pritur i BRE-ve në transport për cakun BRE-T: </w:t>
            </w:r>
          </w:p>
          <w:p w14:paraId="7B178BB2" w14:textId="3FCA1EDA" w:rsidR="00E2203F" w:rsidRPr="0033055B" w:rsidRDefault="00E2203F" w:rsidP="0022227D">
            <w:pPr>
              <w:pStyle w:val="NormalWeb"/>
              <w:snapToGrid w:val="0"/>
              <w:spacing w:before="0" w:after="0"/>
              <w:rPr>
                <w:rStyle w:val="italic1"/>
                <w:rFonts w:asciiTheme="minorHAnsi" w:hAnsiTheme="minorHAnsi" w:cstheme="minorHAnsi"/>
                <w:bCs/>
                <w:i w:val="0"/>
                <w:sz w:val="22"/>
                <w:szCs w:val="22"/>
              </w:rPr>
            </w:pPr>
            <w:r>
              <w:rPr>
                <w:rFonts w:asciiTheme="minorHAnsi" w:hAnsiTheme="minorHAnsi"/>
                <w:bCs/>
                <w:iCs/>
                <w:sz w:val="22"/>
                <w:szCs w:val="22"/>
              </w:rPr>
              <w:t>(C– + (2,5 - 1) x –H) + (2 - 1) x (I)</w:t>
            </w:r>
          </w:p>
        </w:tc>
        <w:tc>
          <w:tcPr>
            <w:tcW w:w="727" w:type="dxa"/>
            <w:shd w:val="clear" w:color="auto" w:fill="FFFFFF" w:themeFill="background1"/>
            <w:vAlign w:val="center"/>
          </w:tcPr>
          <w:p w14:paraId="515730F6" w14:textId="77777777" w:rsidR="00E2203F" w:rsidRPr="0033055B" w:rsidRDefault="00E2203F" w:rsidP="00E2203F">
            <w:pPr>
              <w:spacing w:after="0" w:line="240" w:lineRule="auto"/>
              <w:jc w:val="both"/>
              <w:rPr>
                <w:rFonts w:cstheme="minorHAnsi"/>
              </w:rPr>
            </w:pPr>
            <w:r>
              <w:t>0.0</w:t>
            </w:r>
          </w:p>
        </w:tc>
        <w:tc>
          <w:tcPr>
            <w:tcW w:w="728" w:type="dxa"/>
            <w:shd w:val="clear" w:color="auto" w:fill="FFFFFF" w:themeFill="background1"/>
            <w:vAlign w:val="center"/>
          </w:tcPr>
          <w:p w14:paraId="18FE2C9B" w14:textId="77777777" w:rsidR="00E2203F" w:rsidRPr="0033055B" w:rsidRDefault="00E2203F" w:rsidP="00E2203F">
            <w:pPr>
              <w:spacing w:after="0" w:line="240" w:lineRule="auto"/>
              <w:jc w:val="both"/>
              <w:rPr>
                <w:rFonts w:cstheme="minorHAnsi"/>
              </w:rPr>
            </w:pPr>
            <w:r>
              <w:t>0.0</w:t>
            </w:r>
          </w:p>
        </w:tc>
        <w:tc>
          <w:tcPr>
            <w:tcW w:w="727" w:type="dxa"/>
            <w:shd w:val="clear" w:color="auto" w:fill="FFFFFF" w:themeFill="background1"/>
            <w:vAlign w:val="center"/>
          </w:tcPr>
          <w:p w14:paraId="6A01E49D" w14:textId="77777777" w:rsidR="00E2203F" w:rsidRPr="0033055B" w:rsidRDefault="00E2203F" w:rsidP="00E2203F">
            <w:pPr>
              <w:spacing w:after="0" w:line="240" w:lineRule="auto"/>
              <w:jc w:val="both"/>
              <w:rPr>
                <w:rFonts w:cstheme="minorHAnsi"/>
              </w:rPr>
            </w:pPr>
            <w:r>
              <w:t>0.0</w:t>
            </w:r>
          </w:p>
        </w:tc>
        <w:tc>
          <w:tcPr>
            <w:tcW w:w="728" w:type="dxa"/>
            <w:shd w:val="clear" w:color="auto" w:fill="FFFFFF" w:themeFill="background1"/>
            <w:vAlign w:val="center"/>
          </w:tcPr>
          <w:p w14:paraId="65AC3E9D" w14:textId="77777777" w:rsidR="00E2203F" w:rsidRPr="0033055B" w:rsidRDefault="00E2203F" w:rsidP="00E2203F">
            <w:pPr>
              <w:spacing w:after="0" w:line="240" w:lineRule="auto"/>
              <w:jc w:val="both"/>
              <w:rPr>
                <w:rFonts w:cstheme="minorHAnsi"/>
              </w:rPr>
            </w:pPr>
            <w:r>
              <w:t>0.0</w:t>
            </w:r>
          </w:p>
        </w:tc>
        <w:tc>
          <w:tcPr>
            <w:tcW w:w="727" w:type="dxa"/>
            <w:shd w:val="clear" w:color="auto" w:fill="FFFFFF" w:themeFill="background1"/>
            <w:vAlign w:val="center"/>
          </w:tcPr>
          <w:p w14:paraId="1BEAF63D" w14:textId="77777777" w:rsidR="00E2203F" w:rsidRPr="0033055B" w:rsidRDefault="00E2203F" w:rsidP="00E2203F">
            <w:pPr>
              <w:spacing w:after="0" w:line="240" w:lineRule="auto"/>
              <w:jc w:val="both"/>
              <w:rPr>
                <w:rFonts w:cstheme="minorHAnsi"/>
              </w:rPr>
            </w:pPr>
            <w:r>
              <w:t>0,0</w:t>
            </w:r>
          </w:p>
        </w:tc>
        <w:tc>
          <w:tcPr>
            <w:tcW w:w="728" w:type="dxa"/>
            <w:shd w:val="clear" w:color="auto" w:fill="FFFFFF" w:themeFill="background1"/>
            <w:vAlign w:val="center"/>
          </w:tcPr>
          <w:p w14:paraId="1FF5368A" w14:textId="77777777" w:rsidR="00E2203F" w:rsidRPr="0033055B" w:rsidRDefault="00E2203F" w:rsidP="00E2203F">
            <w:pPr>
              <w:spacing w:after="0" w:line="240" w:lineRule="auto"/>
              <w:jc w:val="both"/>
              <w:rPr>
                <w:rFonts w:cstheme="minorHAnsi"/>
              </w:rPr>
            </w:pPr>
            <w:r>
              <w:t>0,0</w:t>
            </w:r>
          </w:p>
        </w:tc>
        <w:tc>
          <w:tcPr>
            <w:tcW w:w="727" w:type="dxa"/>
            <w:shd w:val="clear" w:color="auto" w:fill="FFFFFF" w:themeFill="background1"/>
            <w:vAlign w:val="center"/>
          </w:tcPr>
          <w:p w14:paraId="1D39FE56" w14:textId="77777777" w:rsidR="00E2203F" w:rsidRPr="0033055B" w:rsidRDefault="00E2203F" w:rsidP="00E2203F">
            <w:pPr>
              <w:spacing w:after="0" w:line="240" w:lineRule="auto"/>
              <w:jc w:val="both"/>
              <w:rPr>
                <w:rFonts w:cstheme="minorHAnsi"/>
              </w:rPr>
            </w:pPr>
            <w:r>
              <w:t>0,0</w:t>
            </w:r>
          </w:p>
        </w:tc>
        <w:tc>
          <w:tcPr>
            <w:tcW w:w="728" w:type="dxa"/>
            <w:shd w:val="clear" w:color="auto" w:fill="FFFFFF" w:themeFill="background1"/>
            <w:vAlign w:val="center"/>
          </w:tcPr>
          <w:p w14:paraId="54DEF78B" w14:textId="77777777" w:rsidR="00E2203F" w:rsidRPr="0033055B" w:rsidRDefault="00E2203F" w:rsidP="00E2203F">
            <w:pPr>
              <w:spacing w:after="0" w:line="240" w:lineRule="auto"/>
              <w:jc w:val="both"/>
              <w:rPr>
                <w:rFonts w:cstheme="minorHAnsi"/>
              </w:rPr>
            </w:pPr>
            <w:r>
              <w:t>0,0</w:t>
            </w:r>
          </w:p>
        </w:tc>
        <w:tc>
          <w:tcPr>
            <w:tcW w:w="727" w:type="dxa"/>
            <w:shd w:val="clear" w:color="auto" w:fill="FFFFFF" w:themeFill="background1"/>
            <w:vAlign w:val="center"/>
          </w:tcPr>
          <w:p w14:paraId="08CB6238" w14:textId="77777777" w:rsidR="00E2203F" w:rsidRPr="0033055B" w:rsidRDefault="00E2203F" w:rsidP="00E2203F">
            <w:pPr>
              <w:spacing w:after="0" w:line="240" w:lineRule="auto"/>
              <w:jc w:val="both"/>
              <w:rPr>
                <w:rFonts w:cstheme="minorHAnsi"/>
              </w:rPr>
            </w:pPr>
            <w:r>
              <w:t>0,0</w:t>
            </w:r>
          </w:p>
        </w:tc>
        <w:tc>
          <w:tcPr>
            <w:tcW w:w="728" w:type="dxa"/>
            <w:shd w:val="clear" w:color="auto" w:fill="FFFFFF" w:themeFill="background1"/>
            <w:vAlign w:val="center"/>
          </w:tcPr>
          <w:p w14:paraId="7D83C632" w14:textId="0CF89A29" w:rsidR="00E2203F" w:rsidRPr="0033055B" w:rsidRDefault="00091742" w:rsidP="00E2203F">
            <w:pPr>
              <w:spacing w:after="0" w:line="240" w:lineRule="auto"/>
              <w:jc w:val="both"/>
              <w:rPr>
                <w:rFonts w:cstheme="minorHAnsi"/>
              </w:rPr>
            </w:pPr>
            <w:r>
              <w:t>0.0</w:t>
            </w:r>
          </w:p>
        </w:tc>
        <w:tc>
          <w:tcPr>
            <w:tcW w:w="727" w:type="dxa"/>
            <w:shd w:val="clear" w:color="auto" w:fill="FFFFFF" w:themeFill="background1"/>
            <w:vAlign w:val="center"/>
          </w:tcPr>
          <w:p w14:paraId="435773C9" w14:textId="77777777" w:rsidR="00E2203F" w:rsidRPr="0033055B" w:rsidRDefault="00E2203F" w:rsidP="00E2203F">
            <w:pPr>
              <w:spacing w:after="0" w:line="240" w:lineRule="auto"/>
              <w:jc w:val="both"/>
              <w:rPr>
                <w:rFonts w:cstheme="minorHAnsi"/>
              </w:rPr>
            </w:pPr>
            <w:r>
              <w:t>19.5</w:t>
            </w:r>
          </w:p>
        </w:tc>
        <w:tc>
          <w:tcPr>
            <w:tcW w:w="728" w:type="dxa"/>
            <w:shd w:val="clear" w:color="auto" w:fill="FFFFFF" w:themeFill="background1"/>
            <w:vAlign w:val="center"/>
          </w:tcPr>
          <w:p w14:paraId="0D01B72C" w14:textId="77777777" w:rsidR="00E2203F" w:rsidRPr="0033055B" w:rsidRDefault="00E2203F" w:rsidP="00E2203F">
            <w:pPr>
              <w:spacing w:after="0" w:line="240" w:lineRule="auto"/>
              <w:jc w:val="both"/>
              <w:rPr>
                <w:rFonts w:cstheme="minorHAnsi"/>
              </w:rPr>
            </w:pPr>
            <w:r>
              <w:t>39.7</w:t>
            </w:r>
          </w:p>
        </w:tc>
      </w:tr>
    </w:tbl>
    <w:p w14:paraId="5015A14A" w14:textId="77777777" w:rsidR="00F91663" w:rsidRPr="0033055B" w:rsidRDefault="00F91663" w:rsidP="005E4A0E">
      <w:pPr>
        <w:spacing w:before="120" w:after="120" w:line="240" w:lineRule="auto"/>
        <w:jc w:val="both"/>
        <w:rPr>
          <w:rFonts w:cstheme="minorHAnsi"/>
          <w:lang w:val="en-GB"/>
        </w:rPr>
      </w:pPr>
    </w:p>
    <w:p w14:paraId="68D98360" w14:textId="77777777" w:rsidR="00F91663" w:rsidRPr="0033055B" w:rsidRDefault="00F91663" w:rsidP="005E4A0E">
      <w:pPr>
        <w:spacing w:before="120" w:after="120" w:line="240" w:lineRule="auto"/>
        <w:jc w:val="both"/>
        <w:rPr>
          <w:rFonts w:cstheme="minorHAnsi"/>
          <w:lang w:val="en-GB"/>
        </w:rPr>
      </w:pPr>
    </w:p>
    <w:p w14:paraId="7B91DE80" w14:textId="77777777" w:rsidR="00995F89" w:rsidRPr="0033055B" w:rsidRDefault="00995F89" w:rsidP="005E4A0E">
      <w:pPr>
        <w:spacing w:before="120" w:after="120" w:line="240" w:lineRule="auto"/>
        <w:jc w:val="both"/>
        <w:rPr>
          <w:rFonts w:cstheme="minorHAnsi"/>
          <w:lang w:val="en-GB"/>
        </w:rPr>
      </w:pPr>
    </w:p>
    <w:p w14:paraId="2611D288" w14:textId="77777777" w:rsidR="00995F89" w:rsidRPr="0033055B" w:rsidRDefault="00995F89" w:rsidP="005E4A0E">
      <w:pPr>
        <w:spacing w:before="120" w:after="120" w:line="240" w:lineRule="auto"/>
        <w:jc w:val="both"/>
        <w:rPr>
          <w:rFonts w:cstheme="minorHAnsi"/>
          <w:lang w:val="en-GB"/>
        </w:rPr>
        <w:sectPr w:rsidR="00995F89" w:rsidRPr="0033055B" w:rsidSect="00771301">
          <w:pgSz w:w="12240" w:h="15840"/>
          <w:pgMar w:top="1440" w:right="1440" w:bottom="1440" w:left="1440" w:header="720" w:footer="720" w:gutter="0"/>
          <w:cols w:space="720"/>
          <w:docGrid w:linePitch="360"/>
        </w:sectPr>
      </w:pPr>
    </w:p>
    <w:p w14:paraId="14C672F7" w14:textId="7C00CF0F" w:rsidR="00FF3D41" w:rsidRPr="0033055B" w:rsidRDefault="00FF3D41" w:rsidP="00455E08">
      <w:pPr>
        <w:pStyle w:val="Heading1"/>
        <w:spacing w:after="240" w:line="240" w:lineRule="auto"/>
        <w:rPr>
          <w:rFonts w:asciiTheme="minorHAnsi" w:hAnsiTheme="minorHAnsi" w:cstheme="minorHAnsi"/>
          <w:b/>
          <w:color w:val="auto"/>
          <w:sz w:val="28"/>
          <w:szCs w:val="28"/>
        </w:rPr>
      </w:pPr>
      <w:bookmarkStart w:id="23" w:name="_Toc518377682"/>
      <w:r>
        <w:rPr>
          <w:rFonts w:asciiTheme="minorHAnsi" w:hAnsiTheme="minorHAnsi"/>
          <w:b/>
          <w:color w:val="auto"/>
          <w:sz w:val="28"/>
          <w:szCs w:val="28"/>
        </w:rPr>
        <w:t>4. MASAT PËR ARRITJEN E CAQEVE</w:t>
      </w:r>
      <w:bookmarkEnd w:id="23"/>
    </w:p>
    <w:p w14:paraId="1C35331E" w14:textId="036E4E2E" w:rsidR="00FF3D41" w:rsidRPr="0033055B" w:rsidRDefault="00FF3D41" w:rsidP="00B973C7">
      <w:pPr>
        <w:pStyle w:val="Heading2"/>
      </w:pPr>
      <w:bookmarkStart w:id="24" w:name="_Toc518377683"/>
      <w:r>
        <w:t>4.1. Pasqyrë e të gjitha politikave dhe masave për promovimin e shfrytëzimit të energjisë nga burimet e ripërtërishme</w:t>
      </w:r>
      <w:bookmarkEnd w:id="24"/>
      <w:r>
        <w:t xml:space="preserve"> </w:t>
      </w:r>
    </w:p>
    <w:p w14:paraId="3FF6C104" w14:textId="77777777" w:rsidR="00A7659D" w:rsidRPr="0033055B" w:rsidRDefault="00202715" w:rsidP="00A7659D">
      <w:pPr>
        <w:spacing w:before="120" w:after="120" w:line="240" w:lineRule="auto"/>
        <w:jc w:val="both"/>
        <w:rPr>
          <w:rFonts w:cstheme="minorHAnsi"/>
        </w:rPr>
      </w:pPr>
      <w:r>
        <w:t>Masat ekzistuese janë prezantuar në tabelën 9, derisa masat e planifikuara janë prezantuar tek Tabela 10, të ndara sipas produktit energjetik: energjia elektrike, ngrohja dhe ftohja, transporti dhe masat ndërsektorale.</w:t>
      </w:r>
    </w:p>
    <w:p w14:paraId="78579C5A" w14:textId="12FB6EE8" w:rsidR="00995F89" w:rsidRPr="0033055B" w:rsidRDefault="00202715" w:rsidP="00A7659D">
      <w:pPr>
        <w:spacing w:before="120" w:after="120" w:line="240" w:lineRule="auto"/>
        <w:jc w:val="center"/>
        <w:rPr>
          <w:rFonts w:cstheme="minorHAnsi"/>
          <w:b/>
        </w:rPr>
      </w:pPr>
      <w:bookmarkStart w:id="25" w:name="_Toc518377701"/>
      <w:r>
        <w:rPr>
          <w:rFonts w:ascii="Calibri" w:hAnsi="Calibri"/>
          <w:b/>
          <w:iCs/>
        </w:rPr>
        <w:t xml:space="preserve">Tabela </w:t>
      </w:r>
      <w:r w:rsidR="00724C64" w:rsidRPr="0033055B">
        <w:rPr>
          <w:rFonts w:ascii="Calibri" w:eastAsia="Calibri" w:hAnsi="Calibri"/>
          <w:b/>
          <w:iCs/>
        </w:rPr>
        <w:fldChar w:fldCharType="begin"/>
      </w:r>
      <w:r w:rsidRPr="0033055B">
        <w:rPr>
          <w:rFonts w:ascii="Calibri" w:eastAsia="Calibri" w:hAnsi="Calibri"/>
          <w:b/>
          <w:iCs/>
        </w:rPr>
        <w:instrText xml:space="preserve"> SEQ Table \* ARABIC </w:instrText>
      </w:r>
      <w:r w:rsidR="00724C64" w:rsidRPr="0033055B">
        <w:rPr>
          <w:rFonts w:ascii="Calibri" w:eastAsia="Calibri" w:hAnsi="Calibri"/>
          <w:b/>
          <w:iCs/>
        </w:rPr>
        <w:fldChar w:fldCharType="separate"/>
      </w:r>
      <w:r w:rsidR="00DC4741">
        <w:rPr>
          <w:rFonts w:ascii="Calibri" w:eastAsia="Calibri" w:hAnsi="Calibri"/>
          <w:b/>
          <w:iCs/>
          <w:noProof/>
        </w:rPr>
        <w:t>9</w:t>
      </w:r>
      <w:r w:rsidR="00724C64" w:rsidRPr="0033055B">
        <w:rPr>
          <w:rFonts w:ascii="Calibri" w:eastAsia="Calibri" w:hAnsi="Calibri"/>
          <w:b/>
          <w:iCs/>
        </w:rPr>
        <w:fldChar w:fldCharType="end"/>
      </w:r>
      <w:r>
        <w:rPr>
          <w:b/>
        </w:rPr>
        <w:t>: Pasqyra e politikave dhe masave ekzistuese.</w:t>
      </w:r>
      <w:bookmarkEnd w:id="2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2651"/>
        <w:gridCol w:w="1427"/>
        <w:gridCol w:w="2002"/>
        <w:gridCol w:w="1563"/>
        <w:gridCol w:w="1311"/>
      </w:tblGrid>
      <w:tr w:rsidR="00FB476C" w:rsidRPr="0033055B" w14:paraId="753E93B7" w14:textId="77777777" w:rsidTr="007563F9">
        <w:trPr>
          <w:trHeight w:val="458"/>
          <w:tblHeader/>
          <w:jc w:val="center"/>
        </w:trPr>
        <w:tc>
          <w:tcPr>
            <w:tcW w:w="355" w:type="pct"/>
            <w:shd w:val="clear" w:color="auto" w:fill="E6E6E6"/>
            <w:vAlign w:val="center"/>
          </w:tcPr>
          <w:p w14:paraId="54162A18" w14:textId="77777777" w:rsidR="00FB476C" w:rsidRPr="0033055B" w:rsidRDefault="00FB476C" w:rsidP="00181E9D">
            <w:pPr>
              <w:autoSpaceDE w:val="0"/>
              <w:autoSpaceDN w:val="0"/>
              <w:adjustRightInd w:val="0"/>
              <w:spacing w:after="0" w:line="240" w:lineRule="auto"/>
              <w:jc w:val="both"/>
              <w:rPr>
                <w:rFonts w:cstheme="minorHAnsi"/>
                <w:b/>
                <w:lang w:val="en-GB"/>
              </w:rPr>
            </w:pPr>
          </w:p>
        </w:tc>
        <w:tc>
          <w:tcPr>
            <w:tcW w:w="1414" w:type="pct"/>
            <w:shd w:val="clear" w:color="auto" w:fill="E6E6E6"/>
            <w:vAlign w:val="center"/>
          </w:tcPr>
          <w:p w14:paraId="7159CF3B" w14:textId="77777777" w:rsidR="00FB476C" w:rsidRPr="0033055B" w:rsidRDefault="00FB476C" w:rsidP="00181E9D">
            <w:pPr>
              <w:autoSpaceDE w:val="0"/>
              <w:autoSpaceDN w:val="0"/>
              <w:adjustRightInd w:val="0"/>
              <w:spacing w:after="0" w:line="240" w:lineRule="auto"/>
              <w:jc w:val="both"/>
              <w:rPr>
                <w:rFonts w:cstheme="minorHAnsi"/>
                <w:b/>
              </w:rPr>
            </w:pPr>
            <w:r>
              <w:rPr>
                <w:b/>
              </w:rPr>
              <w:t>Emri dhe referenca e masës</w:t>
            </w:r>
          </w:p>
          <w:p w14:paraId="1D6FF595" w14:textId="77777777" w:rsidR="00FB476C" w:rsidRPr="0033055B" w:rsidRDefault="00FB476C" w:rsidP="00181E9D">
            <w:pPr>
              <w:autoSpaceDE w:val="0"/>
              <w:autoSpaceDN w:val="0"/>
              <w:adjustRightInd w:val="0"/>
              <w:spacing w:after="0" w:line="240" w:lineRule="auto"/>
              <w:jc w:val="both"/>
              <w:rPr>
                <w:rFonts w:cstheme="minorHAnsi"/>
                <w:b/>
                <w:lang w:val="en-GB"/>
              </w:rPr>
            </w:pPr>
          </w:p>
        </w:tc>
        <w:tc>
          <w:tcPr>
            <w:tcW w:w="717" w:type="pct"/>
            <w:shd w:val="clear" w:color="auto" w:fill="E6E6E6"/>
            <w:vAlign w:val="center"/>
          </w:tcPr>
          <w:p w14:paraId="6B2D2560" w14:textId="77777777" w:rsidR="00FB476C" w:rsidRPr="0033055B" w:rsidRDefault="00FB476C" w:rsidP="00181E9D">
            <w:pPr>
              <w:autoSpaceDE w:val="0"/>
              <w:autoSpaceDN w:val="0"/>
              <w:adjustRightInd w:val="0"/>
              <w:spacing w:after="0" w:line="240" w:lineRule="auto"/>
              <w:jc w:val="both"/>
              <w:rPr>
                <w:rFonts w:cstheme="minorHAnsi"/>
                <w:b/>
              </w:rPr>
            </w:pPr>
            <w:r>
              <w:rPr>
                <w:b/>
              </w:rPr>
              <w:t xml:space="preserve">Lloji i masës </w:t>
            </w:r>
          </w:p>
        </w:tc>
        <w:tc>
          <w:tcPr>
            <w:tcW w:w="1075" w:type="pct"/>
            <w:shd w:val="clear" w:color="auto" w:fill="E6E6E6"/>
            <w:vAlign w:val="center"/>
          </w:tcPr>
          <w:p w14:paraId="3DFFC252" w14:textId="77777777" w:rsidR="00FB476C" w:rsidRPr="0033055B" w:rsidRDefault="00FB476C" w:rsidP="00181E9D">
            <w:pPr>
              <w:autoSpaceDE w:val="0"/>
              <w:autoSpaceDN w:val="0"/>
              <w:adjustRightInd w:val="0"/>
              <w:spacing w:after="0" w:line="240" w:lineRule="auto"/>
              <w:jc w:val="both"/>
              <w:rPr>
                <w:rFonts w:cstheme="minorHAnsi"/>
                <w:b/>
              </w:rPr>
            </w:pPr>
            <w:r>
              <w:rPr>
                <w:b/>
              </w:rPr>
              <w:t xml:space="preserve">Rezultati i pritur </w:t>
            </w:r>
          </w:p>
        </w:tc>
        <w:tc>
          <w:tcPr>
            <w:tcW w:w="846" w:type="pct"/>
            <w:shd w:val="clear" w:color="auto" w:fill="E6E6E6"/>
            <w:vAlign w:val="center"/>
          </w:tcPr>
          <w:p w14:paraId="17CE93BE" w14:textId="77777777" w:rsidR="00FB476C" w:rsidRPr="0033055B" w:rsidRDefault="00FB476C" w:rsidP="00B973C7">
            <w:pPr>
              <w:autoSpaceDE w:val="0"/>
              <w:autoSpaceDN w:val="0"/>
              <w:adjustRightInd w:val="0"/>
              <w:spacing w:after="0" w:line="240" w:lineRule="auto"/>
              <w:rPr>
                <w:rFonts w:cstheme="minorHAnsi"/>
                <w:b/>
              </w:rPr>
            </w:pPr>
            <w:r>
              <w:rPr>
                <w:b/>
              </w:rPr>
              <w:t xml:space="preserve">Grupi apo aktiviteti i synuar </w:t>
            </w:r>
          </w:p>
        </w:tc>
        <w:tc>
          <w:tcPr>
            <w:tcW w:w="593" w:type="pct"/>
            <w:shd w:val="clear" w:color="auto" w:fill="E6E6E6"/>
            <w:vAlign w:val="center"/>
          </w:tcPr>
          <w:p w14:paraId="6B068C3B" w14:textId="1A883567" w:rsidR="00FB476C" w:rsidRPr="0033055B" w:rsidRDefault="00006985" w:rsidP="00B973C7">
            <w:pPr>
              <w:autoSpaceDE w:val="0"/>
              <w:autoSpaceDN w:val="0"/>
              <w:adjustRightInd w:val="0"/>
              <w:spacing w:after="0" w:line="240" w:lineRule="auto"/>
              <w:rPr>
                <w:rFonts w:cstheme="minorHAnsi"/>
                <w:b/>
              </w:rPr>
            </w:pPr>
            <w:r>
              <w:rPr>
                <w:b/>
              </w:rPr>
              <w:t>Datat e (fillimit dhe) përfundimit të masës</w:t>
            </w:r>
          </w:p>
        </w:tc>
      </w:tr>
      <w:tr w:rsidR="00FB476C" w:rsidRPr="0033055B" w14:paraId="63229960" w14:textId="77777777" w:rsidTr="00181E9D">
        <w:trPr>
          <w:trHeight w:val="70"/>
          <w:jc w:val="center"/>
        </w:trPr>
        <w:tc>
          <w:tcPr>
            <w:tcW w:w="5000" w:type="pct"/>
            <w:gridSpan w:val="6"/>
            <w:vAlign w:val="center"/>
          </w:tcPr>
          <w:p w14:paraId="7CB5BD0D" w14:textId="77777777" w:rsidR="00FB476C" w:rsidRPr="0033055B" w:rsidRDefault="00EB1E33" w:rsidP="00181E9D">
            <w:pPr>
              <w:autoSpaceDE w:val="0"/>
              <w:autoSpaceDN w:val="0"/>
              <w:adjustRightInd w:val="0"/>
              <w:spacing w:after="0" w:line="240" w:lineRule="auto"/>
              <w:jc w:val="both"/>
              <w:rPr>
                <w:rFonts w:cstheme="minorHAnsi"/>
                <w:b/>
              </w:rPr>
            </w:pPr>
            <w:r>
              <w:rPr>
                <w:b/>
              </w:rPr>
              <w:t>Energjia elektrike</w:t>
            </w:r>
          </w:p>
        </w:tc>
      </w:tr>
      <w:tr w:rsidR="00FB476C" w:rsidRPr="0033055B" w14:paraId="74F1B765" w14:textId="77777777" w:rsidTr="007563F9">
        <w:trPr>
          <w:trHeight w:val="70"/>
          <w:jc w:val="center"/>
        </w:trPr>
        <w:tc>
          <w:tcPr>
            <w:tcW w:w="355" w:type="pct"/>
            <w:vAlign w:val="center"/>
          </w:tcPr>
          <w:p w14:paraId="4162E93E" w14:textId="77777777" w:rsidR="00FB476C" w:rsidRPr="0033055B" w:rsidRDefault="00EB1E33" w:rsidP="00181E9D">
            <w:pPr>
              <w:autoSpaceDE w:val="0"/>
              <w:autoSpaceDN w:val="0"/>
              <w:adjustRightInd w:val="0"/>
              <w:spacing w:after="0" w:line="240" w:lineRule="auto"/>
              <w:jc w:val="both"/>
              <w:rPr>
                <w:rFonts w:cstheme="minorHAnsi"/>
              </w:rPr>
            </w:pPr>
            <w:r>
              <w:t>1</w:t>
            </w:r>
          </w:p>
        </w:tc>
        <w:tc>
          <w:tcPr>
            <w:tcW w:w="1414" w:type="pct"/>
            <w:vAlign w:val="center"/>
          </w:tcPr>
          <w:p w14:paraId="0A9AC28C" w14:textId="77777777" w:rsidR="00FB476C" w:rsidRPr="0033055B" w:rsidRDefault="00EB1E33" w:rsidP="00181E9D">
            <w:pPr>
              <w:spacing w:after="0" w:line="240" w:lineRule="auto"/>
            </w:pPr>
            <w:r>
              <w:t>Studimi i para-fizibilitetit për hidrocentralet e vogla</w:t>
            </w:r>
          </w:p>
        </w:tc>
        <w:tc>
          <w:tcPr>
            <w:tcW w:w="717" w:type="pct"/>
            <w:vAlign w:val="center"/>
          </w:tcPr>
          <w:p w14:paraId="6E263239" w14:textId="77777777" w:rsidR="00FB476C" w:rsidRPr="0033055B" w:rsidRDefault="00EB1E33" w:rsidP="00181E9D">
            <w:pPr>
              <w:spacing w:after="0" w:line="240" w:lineRule="auto"/>
            </w:pPr>
            <w:r>
              <w:t>Studimi i vlerësimit</w:t>
            </w:r>
          </w:p>
        </w:tc>
        <w:tc>
          <w:tcPr>
            <w:tcW w:w="1075" w:type="pct"/>
            <w:vAlign w:val="center"/>
          </w:tcPr>
          <w:p w14:paraId="4A61ABD8" w14:textId="77777777" w:rsidR="00FB476C" w:rsidRPr="00B15040" w:rsidRDefault="00EB1E33" w:rsidP="00181E9D">
            <w:pPr>
              <w:autoSpaceDE w:val="0"/>
              <w:autoSpaceDN w:val="0"/>
              <w:adjustRightInd w:val="0"/>
              <w:spacing w:after="0" w:line="240" w:lineRule="auto"/>
              <w:rPr>
                <w:rFonts w:cstheme="minorHAnsi"/>
              </w:rPr>
            </w:pPr>
            <w:r>
              <w:t>Identifikimi i hidropotencialeve</w:t>
            </w:r>
          </w:p>
        </w:tc>
        <w:tc>
          <w:tcPr>
            <w:tcW w:w="846" w:type="pct"/>
            <w:vAlign w:val="center"/>
          </w:tcPr>
          <w:p w14:paraId="200A501E" w14:textId="77777777" w:rsidR="00FB476C" w:rsidRPr="0033055B" w:rsidRDefault="00EB1E33" w:rsidP="00181E9D">
            <w:pPr>
              <w:autoSpaceDE w:val="0"/>
              <w:autoSpaceDN w:val="0"/>
              <w:adjustRightInd w:val="0"/>
              <w:spacing w:after="0" w:line="240" w:lineRule="auto"/>
              <w:rPr>
                <w:rFonts w:cstheme="minorHAnsi"/>
              </w:rPr>
            </w:pPr>
            <w:r>
              <w:t>Investitorët në HCV</w:t>
            </w:r>
          </w:p>
        </w:tc>
        <w:tc>
          <w:tcPr>
            <w:tcW w:w="593" w:type="pct"/>
            <w:vAlign w:val="center"/>
          </w:tcPr>
          <w:p w14:paraId="46B04FC9" w14:textId="331063C8" w:rsidR="00FB476C" w:rsidRPr="0033055B" w:rsidRDefault="00EB1E33" w:rsidP="00B973C7">
            <w:pPr>
              <w:spacing w:after="0" w:line="240" w:lineRule="auto"/>
              <w:jc w:val="center"/>
            </w:pPr>
            <w:r>
              <w:t>2006-</w:t>
            </w:r>
          </w:p>
        </w:tc>
      </w:tr>
      <w:tr w:rsidR="00366BB4" w:rsidRPr="0033055B" w14:paraId="6127582E" w14:textId="77777777" w:rsidTr="007563F9">
        <w:trPr>
          <w:trHeight w:val="70"/>
          <w:jc w:val="center"/>
        </w:trPr>
        <w:tc>
          <w:tcPr>
            <w:tcW w:w="355" w:type="pct"/>
            <w:vAlign w:val="center"/>
          </w:tcPr>
          <w:p w14:paraId="781594AD" w14:textId="77777777" w:rsidR="00366BB4" w:rsidRPr="0033055B" w:rsidRDefault="00EB1E33" w:rsidP="00181E9D">
            <w:pPr>
              <w:autoSpaceDE w:val="0"/>
              <w:autoSpaceDN w:val="0"/>
              <w:adjustRightInd w:val="0"/>
              <w:spacing w:after="0" w:line="240" w:lineRule="auto"/>
              <w:jc w:val="both"/>
              <w:rPr>
                <w:rFonts w:cstheme="minorHAnsi"/>
              </w:rPr>
            </w:pPr>
            <w:r>
              <w:t>2</w:t>
            </w:r>
          </w:p>
        </w:tc>
        <w:tc>
          <w:tcPr>
            <w:tcW w:w="1414" w:type="pct"/>
            <w:vAlign w:val="center"/>
          </w:tcPr>
          <w:p w14:paraId="6EF59BC5" w14:textId="77777777" w:rsidR="00366BB4" w:rsidRPr="0033055B" w:rsidRDefault="00EB1E33" w:rsidP="00181E9D">
            <w:pPr>
              <w:spacing w:after="0" w:line="240" w:lineRule="auto"/>
            </w:pPr>
            <w:r>
              <w:t>Vlerësimi i mëtutjeshëm i hidro-potencialit energjetik</w:t>
            </w:r>
          </w:p>
        </w:tc>
        <w:tc>
          <w:tcPr>
            <w:tcW w:w="717" w:type="pct"/>
            <w:vAlign w:val="center"/>
          </w:tcPr>
          <w:p w14:paraId="5F65B632" w14:textId="77777777" w:rsidR="00366BB4" w:rsidRPr="0033055B" w:rsidRDefault="00EB1E33" w:rsidP="00181E9D">
            <w:pPr>
              <w:spacing w:after="0" w:line="240" w:lineRule="auto"/>
            </w:pPr>
            <w:r>
              <w:t>Studimi i vlerësimit</w:t>
            </w:r>
          </w:p>
        </w:tc>
        <w:tc>
          <w:tcPr>
            <w:tcW w:w="1075" w:type="pct"/>
            <w:vAlign w:val="center"/>
          </w:tcPr>
          <w:p w14:paraId="5C0B9014" w14:textId="77777777" w:rsidR="00366BB4" w:rsidRPr="0033055B" w:rsidRDefault="00EB1E33" w:rsidP="00181E9D">
            <w:pPr>
              <w:autoSpaceDE w:val="0"/>
              <w:autoSpaceDN w:val="0"/>
              <w:adjustRightInd w:val="0"/>
              <w:spacing w:after="0" w:line="240" w:lineRule="auto"/>
              <w:rPr>
                <w:rFonts w:cstheme="minorHAnsi"/>
              </w:rPr>
            </w:pPr>
            <w:r>
              <w:t>Identifikimi i hidropotencialeve</w:t>
            </w:r>
          </w:p>
        </w:tc>
        <w:tc>
          <w:tcPr>
            <w:tcW w:w="846" w:type="pct"/>
            <w:vAlign w:val="center"/>
          </w:tcPr>
          <w:p w14:paraId="42A32908" w14:textId="77777777" w:rsidR="00366BB4" w:rsidRPr="0033055B" w:rsidRDefault="00EB1E33" w:rsidP="00181E9D">
            <w:pPr>
              <w:autoSpaceDE w:val="0"/>
              <w:autoSpaceDN w:val="0"/>
              <w:adjustRightInd w:val="0"/>
              <w:spacing w:after="0" w:line="240" w:lineRule="auto"/>
              <w:rPr>
                <w:rFonts w:cstheme="minorHAnsi"/>
              </w:rPr>
            </w:pPr>
            <w:r>
              <w:t>Investitorët në HCV</w:t>
            </w:r>
          </w:p>
        </w:tc>
        <w:tc>
          <w:tcPr>
            <w:tcW w:w="593" w:type="pct"/>
            <w:vAlign w:val="center"/>
          </w:tcPr>
          <w:p w14:paraId="0869E29D" w14:textId="218F715B" w:rsidR="00366BB4" w:rsidRPr="0033055B" w:rsidRDefault="00FC4E9F" w:rsidP="002C0ABA">
            <w:pPr>
              <w:spacing w:after="0" w:line="240" w:lineRule="auto"/>
            </w:pPr>
            <w:r>
              <w:t xml:space="preserve">          2009-2010</w:t>
            </w:r>
          </w:p>
        </w:tc>
      </w:tr>
      <w:tr w:rsidR="00FB476C" w:rsidRPr="0033055B" w14:paraId="0FBEA263" w14:textId="77777777" w:rsidTr="007563F9">
        <w:trPr>
          <w:trHeight w:val="70"/>
          <w:jc w:val="center"/>
        </w:trPr>
        <w:tc>
          <w:tcPr>
            <w:tcW w:w="355" w:type="pct"/>
            <w:vAlign w:val="center"/>
          </w:tcPr>
          <w:p w14:paraId="3D6ED0ED" w14:textId="77777777" w:rsidR="00FB476C" w:rsidRPr="0033055B" w:rsidRDefault="00EB1E33" w:rsidP="00181E9D">
            <w:pPr>
              <w:autoSpaceDE w:val="0"/>
              <w:autoSpaceDN w:val="0"/>
              <w:adjustRightInd w:val="0"/>
              <w:spacing w:after="0" w:line="240" w:lineRule="auto"/>
              <w:jc w:val="both"/>
              <w:rPr>
                <w:rFonts w:cstheme="minorHAnsi"/>
              </w:rPr>
            </w:pPr>
            <w:r>
              <w:t>3</w:t>
            </w:r>
          </w:p>
        </w:tc>
        <w:tc>
          <w:tcPr>
            <w:tcW w:w="1414" w:type="pct"/>
            <w:vAlign w:val="center"/>
          </w:tcPr>
          <w:p w14:paraId="5F51E35F" w14:textId="255B896C" w:rsidR="00FB476C" w:rsidRPr="0033055B" w:rsidRDefault="0093664F" w:rsidP="00181E9D">
            <w:pPr>
              <w:spacing w:after="0" w:line="240" w:lineRule="auto"/>
            </w:pPr>
            <w:r>
              <w:t>Hartimi</w:t>
            </w:r>
            <w:r w:rsidR="00EB1E33">
              <w:t xml:space="preserve"> i pakos tenderuese për ndërtimin e hidrocentraleve të vogla </w:t>
            </w:r>
          </w:p>
        </w:tc>
        <w:tc>
          <w:tcPr>
            <w:tcW w:w="717" w:type="pct"/>
            <w:vAlign w:val="center"/>
          </w:tcPr>
          <w:p w14:paraId="638C9418" w14:textId="77777777" w:rsidR="00FB476C" w:rsidRPr="0033055B" w:rsidRDefault="00EB1E33" w:rsidP="00181E9D">
            <w:pPr>
              <w:spacing w:after="0" w:line="240" w:lineRule="auto"/>
            </w:pPr>
            <w:r>
              <w:t>Rregullatori</w:t>
            </w:r>
          </w:p>
        </w:tc>
        <w:tc>
          <w:tcPr>
            <w:tcW w:w="1075" w:type="pct"/>
            <w:vAlign w:val="center"/>
          </w:tcPr>
          <w:p w14:paraId="231A3BBB" w14:textId="77777777" w:rsidR="00FB476C" w:rsidRPr="0033055B" w:rsidRDefault="00EB1E33" w:rsidP="00181E9D">
            <w:pPr>
              <w:autoSpaceDE w:val="0"/>
              <w:autoSpaceDN w:val="0"/>
              <w:adjustRightInd w:val="0"/>
              <w:spacing w:after="0" w:line="240" w:lineRule="auto"/>
              <w:rPr>
                <w:rFonts w:cstheme="minorHAnsi"/>
              </w:rPr>
            </w:pPr>
            <w:r>
              <w:t>përshpejtimi i procedurave të tenderimit për HCV</w:t>
            </w:r>
          </w:p>
        </w:tc>
        <w:tc>
          <w:tcPr>
            <w:tcW w:w="846" w:type="pct"/>
            <w:vAlign w:val="center"/>
          </w:tcPr>
          <w:p w14:paraId="407234B3" w14:textId="77777777" w:rsidR="00FB476C" w:rsidRPr="0033055B" w:rsidRDefault="00EB1E33" w:rsidP="00181E9D">
            <w:pPr>
              <w:autoSpaceDE w:val="0"/>
              <w:autoSpaceDN w:val="0"/>
              <w:adjustRightInd w:val="0"/>
              <w:spacing w:after="0" w:line="240" w:lineRule="auto"/>
              <w:rPr>
                <w:rFonts w:cstheme="minorHAnsi"/>
              </w:rPr>
            </w:pPr>
            <w:r>
              <w:t>Mbështetja për Zyrën e Rregullatorit të Energjisë dhe investitorët</w:t>
            </w:r>
          </w:p>
        </w:tc>
        <w:tc>
          <w:tcPr>
            <w:tcW w:w="593" w:type="pct"/>
            <w:vAlign w:val="center"/>
          </w:tcPr>
          <w:p w14:paraId="785C809B" w14:textId="16FC82B5" w:rsidR="00FB476C" w:rsidRPr="0033055B" w:rsidRDefault="00EB1E33" w:rsidP="00B973C7">
            <w:pPr>
              <w:spacing w:after="0" w:line="240" w:lineRule="auto"/>
              <w:jc w:val="center"/>
            </w:pPr>
            <w:r>
              <w:t>2008-2010</w:t>
            </w:r>
          </w:p>
        </w:tc>
      </w:tr>
      <w:tr w:rsidR="007D7B98" w:rsidRPr="0033055B" w14:paraId="4E012611" w14:textId="77777777" w:rsidTr="007563F9">
        <w:trPr>
          <w:trHeight w:val="70"/>
          <w:jc w:val="center"/>
        </w:trPr>
        <w:tc>
          <w:tcPr>
            <w:tcW w:w="355" w:type="pct"/>
            <w:vAlign w:val="center"/>
          </w:tcPr>
          <w:p w14:paraId="1F686EFB" w14:textId="77777777" w:rsidR="007D7B98" w:rsidRPr="0033055B" w:rsidRDefault="00EB1E33" w:rsidP="00181E9D">
            <w:pPr>
              <w:autoSpaceDE w:val="0"/>
              <w:autoSpaceDN w:val="0"/>
              <w:adjustRightInd w:val="0"/>
              <w:spacing w:after="0" w:line="240" w:lineRule="auto"/>
              <w:jc w:val="both"/>
              <w:rPr>
                <w:rFonts w:cstheme="minorHAnsi"/>
              </w:rPr>
            </w:pPr>
            <w:r>
              <w:t>4</w:t>
            </w:r>
          </w:p>
        </w:tc>
        <w:tc>
          <w:tcPr>
            <w:tcW w:w="1414" w:type="pct"/>
            <w:vAlign w:val="center"/>
          </w:tcPr>
          <w:p w14:paraId="047663CF" w14:textId="77777777" w:rsidR="007D7B98" w:rsidRPr="0033055B" w:rsidRDefault="00EB1E33" w:rsidP="00181E9D">
            <w:pPr>
              <w:spacing w:after="0" w:line="240" w:lineRule="auto"/>
            </w:pPr>
            <w:r>
              <w:t>Harta e energjisë së erës</w:t>
            </w:r>
          </w:p>
        </w:tc>
        <w:tc>
          <w:tcPr>
            <w:tcW w:w="717" w:type="pct"/>
            <w:vAlign w:val="center"/>
          </w:tcPr>
          <w:p w14:paraId="4CDFC0C2" w14:textId="77777777" w:rsidR="007D7B98" w:rsidRPr="0033055B" w:rsidRDefault="00EB1E33" w:rsidP="00181E9D">
            <w:pPr>
              <w:spacing w:after="0" w:line="240" w:lineRule="auto"/>
            </w:pPr>
            <w:r>
              <w:t xml:space="preserve">Studimi </w:t>
            </w:r>
          </w:p>
        </w:tc>
        <w:tc>
          <w:tcPr>
            <w:tcW w:w="1075" w:type="pct"/>
            <w:vAlign w:val="center"/>
          </w:tcPr>
          <w:p w14:paraId="3EF2B409" w14:textId="77777777" w:rsidR="007D7B98" w:rsidRPr="0033055B" w:rsidRDefault="00EB1E33" w:rsidP="00181E9D">
            <w:pPr>
              <w:autoSpaceDE w:val="0"/>
              <w:autoSpaceDN w:val="0"/>
              <w:adjustRightInd w:val="0"/>
              <w:spacing w:after="0" w:line="240" w:lineRule="auto"/>
              <w:rPr>
                <w:rFonts w:cstheme="minorHAnsi"/>
              </w:rPr>
            </w:pPr>
            <w:r>
              <w:t>Hartimi i atlasit të energjisë së erës</w:t>
            </w:r>
          </w:p>
        </w:tc>
        <w:tc>
          <w:tcPr>
            <w:tcW w:w="846" w:type="pct"/>
            <w:vAlign w:val="center"/>
          </w:tcPr>
          <w:p w14:paraId="7FF183C6" w14:textId="127B3EC1" w:rsidR="007D7B98" w:rsidRPr="0033055B" w:rsidRDefault="00EB1E33" w:rsidP="00181E9D">
            <w:pPr>
              <w:autoSpaceDE w:val="0"/>
              <w:autoSpaceDN w:val="0"/>
              <w:adjustRightInd w:val="0"/>
              <w:spacing w:after="0" w:line="240" w:lineRule="auto"/>
              <w:rPr>
                <w:rFonts w:cstheme="minorHAnsi"/>
              </w:rPr>
            </w:pPr>
            <w:r>
              <w:t>Institucionet publike, planifikuesit dhe investitorët</w:t>
            </w:r>
          </w:p>
        </w:tc>
        <w:tc>
          <w:tcPr>
            <w:tcW w:w="593" w:type="pct"/>
            <w:vAlign w:val="center"/>
          </w:tcPr>
          <w:p w14:paraId="6F594035" w14:textId="383ED0F7" w:rsidR="007D7B98" w:rsidRPr="0033055B" w:rsidRDefault="00EB1E33" w:rsidP="00B973C7">
            <w:pPr>
              <w:spacing w:after="0" w:line="240" w:lineRule="auto"/>
              <w:jc w:val="center"/>
            </w:pPr>
            <w:r>
              <w:t>2013-</w:t>
            </w:r>
          </w:p>
        </w:tc>
      </w:tr>
      <w:tr w:rsidR="005B784D" w:rsidRPr="0033055B" w14:paraId="6D8ACF17" w14:textId="77777777" w:rsidTr="007563F9">
        <w:trPr>
          <w:trHeight w:val="70"/>
          <w:jc w:val="center"/>
        </w:trPr>
        <w:tc>
          <w:tcPr>
            <w:tcW w:w="355" w:type="pct"/>
            <w:vAlign w:val="center"/>
          </w:tcPr>
          <w:p w14:paraId="1D1E3AE9" w14:textId="77777777" w:rsidR="005B784D" w:rsidRPr="0033055B" w:rsidRDefault="00EB1E33" w:rsidP="00181E9D">
            <w:pPr>
              <w:autoSpaceDE w:val="0"/>
              <w:autoSpaceDN w:val="0"/>
              <w:adjustRightInd w:val="0"/>
              <w:spacing w:after="0" w:line="240" w:lineRule="auto"/>
              <w:jc w:val="both"/>
              <w:rPr>
                <w:rFonts w:cstheme="minorHAnsi"/>
              </w:rPr>
            </w:pPr>
            <w:r>
              <w:t>5</w:t>
            </w:r>
          </w:p>
        </w:tc>
        <w:tc>
          <w:tcPr>
            <w:tcW w:w="1414" w:type="pct"/>
            <w:vAlign w:val="center"/>
          </w:tcPr>
          <w:p w14:paraId="2BC6C33B" w14:textId="77777777" w:rsidR="005B784D" w:rsidRPr="0033055B" w:rsidRDefault="00EB1E33" w:rsidP="00181E9D">
            <w:pPr>
              <w:spacing w:after="0" w:line="240" w:lineRule="auto"/>
            </w:pPr>
            <w:r>
              <w:t>Studimi për sigurinë e furnizimit të energjisë elektrike në Kosovë</w:t>
            </w:r>
          </w:p>
        </w:tc>
        <w:tc>
          <w:tcPr>
            <w:tcW w:w="717" w:type="pct"/>
            <w:vAlign w:val="center"/>
          </w:tcPr>
          <w:p w14:paraId="033C65F6" w14:textId="77777777" w:rsidR="005B784D" w:rsidRPr="0033055B" w:rsidRDefault="00EB1E33" w:rsidP="00181E9D">
            <w:pPr>
              <w:spacing w:after="0" w:line="240" w:lineRule="auto"/>
            </w:pPr>
            <w:r>
              <w:t>Studimi</w:t>
            </w:r>
          </w:p>
        </w:tc>
        <w:tc>
          <w:tcPr>
            <w:tcW w:w="1075" w:type="pct"/>
            <w:vAlign w:val="center"/>
          </w:tcPr>
          <w:p w14:paraId="3F203255" w14:textId="77777777" w:rsidR="005B784D" w:rsidRPr="0033055B" w:rsidRDefault="00EB1E33" w:rsidP="00181E9D">
            <w:pPr>
              <w:autoSpaceDE w:val="0"/>
              <w:autoSpaceDN w:val="0"/>
              <w:adjustRightInd w:val="0"/>
              <w:spacing w:after="0" w:line="240" w:lineRule="auto"/>
              <w:rPr>
                <w:rFonts w:cstheme="minorHAnsi"/>
              </w:rPr>
            </w:pPr>
            <w:r>
              <w:t>Masat e zgjerimit të rrjetit të BRE dhe kriteret teknike për impiantet me energji ere</w:t>
            </w:r>
          </w:p>
        </w:tc>
        <w:tc>
          <w:tcPr>
            <w:tcW w:w="846" w:type="pct"/>
            <w:vAlign w:val="center"/>
          </w:tcPr>
          <w:p w14:paraId="5137C7EA" w14:textId="77777777" w:rsidR="005B784D" w:rsidRPr="0033055B" w:rsidRDefault="00EB1E33" w:rsidP="00181E9D">
            <w:pPr>
              <w:autoSpaceDE w:val="0"/>
              <w:autoSpaceDN w:val="0"/>
              <w:adjustRightInd w:val="0"/>
              <w:spacing w:after="0" w:line="240" w:lineRule="auto"/>
              <w:rPr>
                <w:rFonts w:cstheme="minorHAnsi"/>
              </w:rPr>
            </w:pPr>
            <w:r>
              <w:t>Kompanitë energjetike,</w:t>
            </w:r>
          </w:p>
          <w:p w14:paraId="63FD2F1A" w14:textId="77777777" w:rsidR="005B784D" w:rsidRPr="0033055B" w:rsidRDefault="00EB1E33" w:rsidP="00181E9D">
            <w:pPr>
              <w:autoSpaceDE w:val="0"/>
              <w:autoSpaceDN w:val="0"/>
              <w:adjustRightInd w:val="0"/>
              <w:spacing w:after="0" w:line="240" w:lineRule="auto"/>
              <w:rPr>
                <w:rFonts w:cstheme="minorHAnsi"/>
              </w:rPr>
            </w:pPr>
            <w:r>
              <w:t>investitorët</w:t>
            </w:r>
          </w:p>
        </w:tc>
        <w:tc>
          <w:tcPr>
            <w:tcW w:w="593" w:type="pct"/>
            <w:vAlign w:val="center"/>
          </w:tcPr>
          <w:p w14:paraId="0304E326" w14:textId="184757C3" w:rsidR="005B784D" w:rsidRPr="0033055B" w:rsidRDefault="00EB1E33" w:rsidP="00B973C7">
            <w:pPr>
              <w:spacing w:after="0" w:line="240" w:lineRule="auto"/>
              <w:jc w:val="center"/>
            </w:pPr>
            <w:r>
              <w:t>2013-</w:t>
            </w:r>
          </w:p>
        </w:tc>
      </w:tr>
      <w:tr w:rsidR="00420FBD" w:rsidRPr="0033055B" w14:paraId="552EE2FF" w14:textId="77777777" w:rsidTr="007563F9">
        <w:trPr>
          <w:trHeight w:val="70"/>
          <w:jc w:val="center"/>
        </w:trPr>
        <w:tc>
          <w:tcPr>
            <w:tcW w:w="355" w:type="pct"/>
            <w:vAlign w:val="center"/>
          </w:tcPr>
          <w:p w14:paraId="01379E99" w14:textId="77777777" w:rsidR="00420FBD" w:rsidRPr="0033055B" w:rsidRDefault="00EB1E33" w:rsidP="00181E9D">
            <w:pPr>
              <w:autoSpaceDE w:val="0"/>
              <w:autoSpaceDN w:val="0"/>
              <w:adjustRightInd w:val="0"/>
              <w:spacing w:after="0" w:line="240" w:lineRule="auto"/>
              <w:jc w:val="both"/>
              <w:rPr>
                <w:rFonts w:cstheme="minorHAnsi"/>
              </w:rPr>
            </w:pPr>
            <w:r>
              <w:t>6</w:t>
            </w:r>
          </w:p>
        </w:tc>
        <w:tc>
          <w:tcPr>
            <w:tcW w:w="1414" w:type="pct"/>
            <w:vAlign w:val="center"/>
          </w:tcPr>
          <w:p w14:paraId="4DCBF3BA" w14:textId="77777777" w:rsidR="00420FBD" w:rsidRPr="0033055B" w:rsidRDefault="00EB1E33" w:rsidP="00181E9D">
            <w:pPr>
              <w:spacing w:after="0" w:line="240" w:lineRule="auto"/>
              <w:rPr>
                <w:iCs/>
              </w:rPr>
            </w:pPr>
            <w:r>
              <w:t>Rregulli për procedurën e autorizimit të ndërtimit të kapaciteteve të reja gjeneruese (Rregulli i Autorizimit)</w:t>
            </w:r>
          </w:p>
        </w:tc>
        <w:tc>
          <w:tcPr>
            <w:tcW w:w="717" w:type="pct"/>
            <w:vAlign w:val="center"/>
          </w:tcPr>
          <w:p w14:paraId="2451FD7E" w14:textId="77777777" w:rsidR="00420FBD" w:rsidRPr="0033055B" w:rsidRDefault="00EB1E33" w:rsidP="00181E9D">
            <w:pPr>
              <w:spacing w:after="0" w:line="240" w:lineRule="auto"/>
            </w:pPr>
            <w:r>
              <w:t>Rregullatori</w:t>
            </w:r>
          </w:p>
        </w:tc>
        <w:tc>
          <w:tcPr>
            <w:tcW w:w="1075" w:type="pct"/>
            <w:vAlign w:val="center"/>
          </w:tcPr>
          <w:p w14:paraId="78767E52" w14:textId="77777777" w:rsidR="00420FBD" w:rsidRPr="0033055B" w:rsidRDefault="00EB1E33" w:rsidP="00181E9D">
            <w:pPr>
              <w:spacing w:after="0" w:line="240" w:lineRule="auto"/>
            </w:pPr>
            <w:r>
              <w:t>përshkrimi i procedurës për autorizimin e projekteve të gjenerimit të energjisë</w:t>
            </w:r>
          </w:p>
        </w:tc>
        <w:tc>
          <w:tcPr>
            <w:tcW w:w="846" w:type="pct"/>
            <w:vAlign w:val="center"/>
          </w:tcPr>
          <w:p w14:paraId="74D90ECA" w14:textId="77777777" w:rsidR="00420FBD" w:rsidRPr="0033055B" w:rsidRDefault="00EB1E33" w:rsidP="00181E9D">
            <w:pPr>
              <w:spacing w:after="0" w:line="240" w:lineRule="auto"/>
            </w:pPr>
            <w:r>
              <w:t>Investitorë, planifikues</w:t>
            </w:r>
          </w:p>
        </w:tc>
        <w:tc>
          <w:tcPr>
            <w:tcW w:w="593" w:type="pct"/>
            <w:vAlign w:val="center"/>
          </w:tcPr>
          <w:p w14:paraId="46195717" w14:textId="55FBE736" w:rsidR="00420FBD" w:rsidRPr="0033055B" w:rsidRDefault="00EB1E33" w:rsidP="00B973C7">
            <w:pPr>
              <w:spacing w:after="0" w:line="240" w:lineRule="auto"/>
              <w:jc w:val="center"/>
            </w:pPr>
            <w:r>
              <w:t>2014-2017</w:t>
            </w:r>
          </w:p>
        </w:tc>
      </w:tr>
      <w:tr w:rsidR="00181E9D" w:rsidRPr="0033055B" w14:paraId="7437ED0F" w14:textId="77777777" w:rsidTr="007563F9">
        <w:trPr>
          <w:trHeight w:val="70"/>
          <w:jc w:val="center"/>
        </w:trPr>
        <w:tc>
          <w:tcPr>
            <w:tcW w:w="355" w:type="pct"/>
            <w:vAlign w:val="center"/>
          </w:tcPr>
          <w:p w14:paraId="02C74215" w14:textId="77777777" w:rsidR="00181E9D" w:rsidRPr="0033055B" w:rsidRDefault="00EB1E33" w:rsidP="00181E9D">
            <w:pPr>
              <w:autoSpaceDE w:val="0"/>
              <w:autoSpaceDN w:val="0"/>
              <w:adjustRightInd w:val="0"/>
              <w:spacing w:after="0" w:line="240" w:lineRule="auto"/>
              <w:jc w:val="both"/>
              <w:rPr>
                <w:rFonts w:cstheme="minorHAnsi"/>
              </w:rPr>
            </w:pPr>
            <w:r>
              <w:t>7</w:t>
            </w:r>
          </w:p>
        </w:tc>
        <w:tc>
          <w:tcPr>
            <w:tcW w:w="1414" w:type="pct"/>
            <w:vAlign w:val="center"/>
          </w:tcPr>
          <w:p w14:paraId="313ED341" w14:textId="77777777" w:rsidR="00181E9D" w:rsidRPr="0033055B" w:rsidRDefault="00EB1E33" w:rsidP="00181E9D">
            <w:pPr>
              <w:spacing w:after="0" w:line="240" w:lineRule="auto"/>
              <w:rPr>
                <w:iCs/>
              </w:rPr>
            </w:pPr>
            <w:r>
              <w:t xml:space="preserve">Programi për Zhvillim Rural dhe Bujqësor - Skema e granteve për bujq </w:t>
            </w:r>
          </w:p>
        </w:tc>
        <w:tc>
          <w:tcPr>
            <w:tcW w:w="717" w:type="pct"/>
            <w:vAlign w:val="center"/>
          </w:tcPr>
          <w:p w14:paraId="523B4439" w14:textId="77777777" w:rsidR="00181E9D" w:rsidRPr="0033055B" w:rsidRDefault="00EB1E33" w:rsidP="00181E9D">
            <w:pPr>
              <w:spacing w:after="0" w:line="240" w:lineRule="auto"/>
              <w:rPr>
                <w:iCs/>
              </w:rPr>
            </w:pPr>
            <w:r>
              <w:t>Përkrahje financiare</w:t>
            </w:r>
          </w:p>
        </w:tc>
        <w:tc>
          <w:tcPr>
            <w:tcW w:w="1075" w:type="pct"/>
            <w:vAlign w:val="center"/>
          </w:tcPr>
          <w:p w14:paraId="46B526DB" w14:textId="77777777" w:rsidR="00181E9D" w:rsidRPr="0033055B" w:rsidRDefault="00EB1E33" w:rsidP="00181E9D">
            <w:pPr>
              <w:autoSpaceDE w:val="0"/>
              <w:autoSpaceDN w:val="0"/>
              <w:adjustRightInd w:val="0"/>
              <w:spacing w:after="0" w:line="240" w:lineRule="auto"/>
              <w:rPr>
                <w:iCs/>
              </w:rPr>
            </w:pPr>
            <w:r>
              <w:t>Qëndrueshmëria e sektorit dhe puna e përbashkët në rritje të prodhimit, krijimi i linjave të reja përpunuese dhe avancimi i makinerive e pajisjeve bujqësore, si dhe kushteve të punës në nivel ferme</w:t>
            </w:r>
          </w:p>
        </w:tc>
        <w:tc>
          <w:tcPr>
            <w:tcW w:w="846" w:type="pct"/>
            <w:vAlign w:val="center"/>
          </w:tcPr>
          <w:p w14:paraId="2EA08BD5" w14:textId="77777777" w:rsidR="00181E9D" w:rsidRPr="0033055B" w:rsidRDefault="00EB1E33" w:rsidP="00181E9D">
            <w:pPr>
              <w:spacing w:after="0" w:line="240" w:lineRule="auto"/>
              <w:rPr>
                <w:iCs/>
              </w:rPr>
            </w:pPr>
            <w:r>
              <w:t xml:space="preserve">Bujqit </w:t>
            </w:r>
          </w:p>
        </w:tc>
        <w:tc>
          <w:tcPr>
            <w:tcW w:w="593" w:type="pct"/>
            <w:vAlign w:val="center"/>
          </w:tcPr>
          <w:p w14:paraId="60212FE9" w14:textId="5A1DEAF4" w:rsidR="00181E9D" w:rsidRPr="0033055B" w:rsidRDefault="00EB1E33" w:rsidP="00B973C7">
            <w:pPr>
              <w:spacing w:after="0" w:line="240" w:lineRule="auto"/>
              <w:jc w:val="center"/>
              <w:rPr>
                <w:iCs/>
              </w:rPr>
            </w:pPr>
            <w:r>
              <w:t>2014-</w:t>
            </w:r>
          </w:p>
        </w:tc>
      </w:tr>
      <w:tr w:rsidR="00420FBD" w:rsidRPr="0033055B" w14:paraId="3A732E3F" w14:textId="77777777" w:rsidTr="007563F9">
        <w:trPr>
          <w:trHeight w:val="70"/>
          <w:jc w:val="center"/>
        </w:trPr>
        <w:tc>
          <w:tcPr>
            <w:tcW w:w="355" w:type="pct"/>
            <w:vAlign w:val="center"/>
          </w:tcPr>
          <w:p w14:paraId="208E5C7A" w14:textId="77777777" w:rsidR="00420FBD" w:rsidRPr="0033055B" w:rsidRDefault="00EB1E33" w:rsidP="00181E9D">
            <w:pPr>
              <w:autoSpaceDE w:val="0"/>
              <w:autoSpaceDN w:val="0"/>
              <w:adjustRightInd w:val="0"/>
              <w:spacing w:after="0" w:line="240" w:lineRule="auto"/>
              <w:jc w:val="both"/>
              <w:rPr>
                <w:rFonts w:cstheme="minorHAnsi"/>
              </w:rPr>
            </w:pPr>
            <w:r>
              <w:t>8</w:t>
            </w:r>
          </w:p>
        </w:tc>
        <w:tc>
          <w:tcPr>
            <w:tcW w:w="1414" w:type="pct"/>
            <w:vAlign w:val="center"/>
          </w:tcPr>
          <w:p w14:paraId="107E69E6" w14:textId="77777777" w:rsidR="00420FBD" w:rsidRPr="0033055B" w:rsidRDefault="00EB1E33" w:rsidP="00181E9D">
            <w:pPr>
              <w:spacing w:after="0" w:line="240" w:lineRule="auto"/>
              <w:rPr>
                <w:iCs/>
              </w:rPr>
            </w:pPr>
            <w:r>
              <w:t>Ligji për Energjinë nr.05/L-081</w:t>
            </w:r>
          </w:p>
        </w:tc>
        <w:tc>
          <w:tcPr>
            <w:tcW w:w="717" w:type="pct"/>
            <w:vAlign w:val="center"/>
          </w:tcPr>
          <w:p w14:paraId="5CB14B29" w14:textId="77777777" w:rsidR="00420FBD" w:rsidRPr="0033055B" w:rsidRDefault="00EB1E33" w:rsidP="00181E9D">
            <w:pPr>
              <w:spacing w:after="0" w:line="240" w:lineRule="auto"/>
            </w:pPr>
            <w:r>
              <w:t xml:space="preserve">Rregullatore </w:t>
            </w:r>
          </w:p>
        </w:tc>
        <w:tc>
          <w:tcPr>
            <w:tcW w:w="1075" w:type="pct"/>
            <w:vAlign w:val="center"/>
          </w:tcPr>
          <w:p w14:paraId="189D3CFD" w14:textId="77777777" w:rsidR="00420FBD" w:rsidRPr="0033055B" w:rsidRDefault="00EB1E33" w:rsidP="00181E9D">
            <w:pPr>
              <w:spacing w:after="0" w:line="240" w:lineRule="auto"/>
            </w:pPr>
            <w:r>
              <w:t>Promovimi, optimizimi dhe shfrytëzimi, duke përfshirë përcaktimin e qëllimeve vjetore dhe afatgjate të gjenerimit të energjisë nga burimet e tilla</w:t>
            </w:r>
          </w:p>
        </w:tc>
        <w:tc>
          <w:tcPr>
            <w:tcW w:w="846" w:type="pct"/>
            <w:vAlign w:val="center"/>
          </w:tcPr>
          <w:p w14:paraId="63396843" w14:textId="77777777" w:rsidR="00420FBD" w:rsidRPr="0033055B" w:rsidRDefault="00EB1E33" w:rsidP="00181E9D">
            <w:pPr>
              <w:spacing w:after="0" w:line="240" w:lineRule="auto"/>
            </w:pPr>
            <w:r>
              <w:t>Investitorët, konsumatorët fundorë, administrata publike,</w:t>
            </w:r>
          </w:p>
        </w:tc>
        <w:tc>
          <w:tcPr>
            <w:tcW w:w="593" w:type="pct"/>
            <w:vAlign w:val="center"/>
          </w:tcPr>
          <w:p w14:paraId="2C61AE94" w14:textId="77777777" w:rsidR="00420FBD" w:rsidRPr="0033055B" w:rsidRDefault="00EB1E33" w:rsidP="00846A0A">
            <w:pPr>
              <w:spacing w:after="0" w:line="240" w:lineRule="auto"/>
              <w:jc w:val="center"/>
            </w:pPr>
            <w:r>
              <w:t>2016</w:t>
            </w:r>
          </w:p>
        </w:tc>
      </w:tr>
      <w:tr w:rsidR="00420FBD" w:rsidRPr="0033055B" w14:paraId="3DABA6D4" w14:textId="77777777" w:rsidTr="007563F9">
        <w:trPr>
          <w:trHeight w:val="70"/>
          <w:jc w:val="center"/>
        </w:trPr>
        <w:tc>
          <w:tcPr>
            <w:tcW w:w="355" w:type="pct"/>
            <w:vAlign w:val="center"/>
          </w:tcPr>
          <w:p w14:paraId="6FC1EF7D" w14:textId="77777777" w:rsidR="00420FBD" w:rsidRPr="0033055B" w:rsidRDefault="00EB1E33" w:rsidP="00181E9D">
            <w:pPr>
              <w:autoSpaceDE w:val="0"/>
              <w:autoSpaceDN w:val="0"/>
              <w:adjustRightInd w:val="0"/>
              <w:spacing w:after="0" w:line="240" w:lineRule="auto"/>
              <w:jc w:val="both"/>
              <w:rPr>
                <w:rFonts w:cstheme="minorHAnsi"/>
              </w:rPr>
            </w:pPr>
            <w:r>
              <w:t>9</w:t>
            </w:r>
          </w:p>
        </w:tc>
        <w:tc>
          <w:tcPr>
            <w:tcW w:w="1414" w:type="pct"/>
            <w:vAlign w:val="center"/>
          </w:tcPr>
          <w:p w14:paraId="7E0D8EFC" w14:textId="77777777" w:rsidR="00420FBD" w:rsidRPr="0033055B" w:rsidRDefault="00EB1E33" w:rsidP="00181E9D">
            <w:pPr>
              <w:spacing w:after="0" w:line="240" w:lineRule="auto"/>
              <w:rPr>
                <w:iCs/>
              </w:rPr>
            </w:pPr>
            <w:r>
              <w:t>Ligji për Energjinë Elektrike nr.05/L-085</w:t>
            </w:r>
          </w:p>
        </w:tc>
        <w:tc>
          <w:tcPr>
            <w:tcW w:w="717" w:type="pct"/>
            <w:vAlign w:val="center"/>
          </w:tcPr>
          <w:p w14:paraId="69334E0F" w14:textId="77777777" w:rsidR="00420FBD" w:rsidRPr="0033055B" w:rsidRDefault="00EB1E33" w:rsidP="00181E9D">
            <w:pPr>
              <w:spacing w:after="0" w:line="240" w:lineRule="auto"/>
            </w:pPr>
            <w:r>
              <w:t>Rregullatore</w:t>
            </w:r>
          </w:p>
        </w:tc>
        <w:tc>
          <w:tcPr>
            <w:tcW w:w="1075" w:type="pct"/>
            <w:vAlign w:val="center"/>
          </w:tcPr>
          <w:p w14:paraId="704680AB" w14:textId="77777777" w:rsidR="00420FBD" w:rsidRPr="0033055B" w:rsidRDefault="00EB1E33" w:rsidP="00181E9D">
            <w:pPr>
              <w:spacing w:after="0" w:line="240" w:lineRule="auto"/>
            </w:pPr>
            <w:r>
              <w:t>Krijimi i Certifikatës së Origjinës për BR dhe ko-gjenerim</w:t>
            </w:r>
          </w:p>
        </w:tc>
        <w:tc>
          <w:tcPr>
            <w:tcW w:w="846" w:type="pct"/>
            <w:vAlign w:val="center"/>
          </w:tcPr>
          <w:p w14:paraId="5BC31D8D" w14:textId="77777777" w:rsidR="00420FBD" w:rsidRPr="0033055B" w:rsidRDefault="00EB1E33" w:rsidP="00181E9D">
            <w:pPr>
              <w:spacing w:after="0" w:line="240" w:lineRule="auto"/>
            </w:pPr>
            <w:r>
              <w:t>Investitorët, konsumatorët fundorë, administrata publike,</w:t>
            </w:r>
          </w:p>
        </w:tc>
        <w:tc>
          <w:tcPr>
            <w:tcW w:w="593" w:type="pct"/>
            <w:vAlign w:val="center"/>
          </w:tcPr>
          <w:p w14:paraId="675186C2" w14:textId="77777777" w:rsidR="00420FBD" w:rsidRPr="0033055B" w:rsidRDefault="00EB1E33" w:rsidP="00846A0A">
            <w:pPr>
              <w:spacing w:after="0" w:line="240" w:lineRule="auto"/>
              <w:jc w:val="center"/>
            </w:pPr>
            <w:r>
              <w:t>2016</w:t>
            </w:r>
          </w:p>
        </w:tc>
      </w:tr>
      <w:tr w:rsidR="00420FBD" w:rsidRPr="0033055B" w14:paraId="765CA335" w14:textId="77777777" w:rsidTr="007563F9">
        <w:trPr>
          <w:trHeight w:val="70"/>
          <w:jc w:val="center"/>
        </w:trPr>
        <w:tc>
          <w:tcPr>
            <w:tcW w:w="355" w:type="pct"/>
            <w:vAlign w:val="center"/>
          </w:tcPr>
          <w:p w14:paraId="7D2BF17F" w14:textId="77777777" w:rsidR="00420FBD" w:rsidRPr="0033055B" w:rsidRDefault="00EB1E33" w:rsidP="00181E9D">
            <w:pPr>
              <w:autoSpaceDE w:val="0"/>
              <w:autoSpaceDN w:val="0"/>
              <w:adjustRightInd w:val="0"/>
              <w:spacing w:after="0" w:line="240" w:lineRule="auto"/>
              <w:jc w:val="both"/>
              <w:rPr>
                <w:rFonts w:cstheme="minorHAnsi"/>
              </w:rPr>
            </w:pPr>
            <w:r>
              <w:t>10</w:t>
            </w:r>
          </w:p>
        </w:tc>
        <w:tc>
          <w:tcPr>
            <w:tcW w:w="1414" w:type="pct"/>
            <w:vAlign w:val="center"/>
          </w:tcPr>
          <w:p w14:paraId="19DC9737" w14:textId="77777777" w:rsidR="00420FBD" w:rsidRPr="0033055B" w:rsidRDefault="00EB1E33" w:rsidP="00181E9D">
            <w:pPr>
              <w:spacing w:after="0" w:line="240" w:lineRule="auto"/>
              <w:rPr>
                <w:iCs/>
              </w:rPr>
            </w:pPr>
            <w:r>
              <w:t>Ligji për Rregullatorin e Energjisë nr. 05/L-084, neni 43</w:t>
            </w:r>
          </w:p>
        </w:tc>
        <w:tc>
          <w:tcPr>
            <w:tcW w:w="717" w:type="pct"/>
            <w:vAlign w:val="center"/>
          </w:tcPr>
          <w:p w14:paraId="3EA1D90B" w14:textId="77777777" w:rsidR="00420FBD" w:rsidRPr="0033055B" w:rsidRDefault="00EB1E33" w:rsidP="00181E9D">
            <w:pPr>
              <w:spacing w:after="0" w:line="240" w:lineRule="auto"/>
            </w:pPr>
            <w:r>
              <w:t>Rregullatore</w:t>
            </w:r>
          </w:p>
        </w:tc>
        <w:tc>
          <w:tcPr>
            <w:tcW w:w="1075" w:type="pct"/>
            <w:vAlign w:val="center"/>
          </w:tcPr>
          <w:p w14:paraId="62106072" w14:textId="77777777" w:rsidR="00420FBD" w:rsidRPr="0033055B" w:rsidRDefault="00EB1E33" w:rsidP="00181E9D">
            <w:pPr>
              <w:spacing w:after="0" w:line="240" w:lineRule="auto"/>
            </w:pPr>
            <w:r>
              <w:t>Vendosja e procedurave specifike “për autorizimin e ndërtimit të gjeneratorëve të vegjël të decentralizuar dhe/ose të shpërndarë”</w:t>
            </w:r>
          </w:p>
        </w:tc>
        <w:tc>
          <w:tcPr>
            <w:tcW w:w="846" w:type="pct"/>
            <w:vAlign w:val="center"/>
          </w:tcPr>
          <w:p w14:paraId="2950F35F" w14:textId="77777777" w:rsidR="00420FBD" w:rsidRPr="0033055B" w:rsidRDefault="00EB1E33" w:rsidP="00181E9D">
            <w:pPr>
              <w:spacing w:after="0" w:line="240" w:lineRule="auto"/>
            </w:pPr>
            <w:r>
              <w:t>Investitorët, konsumatorët fundorë, administrata publike,</w:t>
            </w:r>
          </w:p>
        </w:tc>
        <w:tc>
          <w:tcPr>
            <w:tcW w:w="593" w:type="pct"/>
            <w:vAlign w:val="center"/>
          </w:tcPr>
          <w:p w14:paraId="219543F4" w14:textId="77777777" w:rsidR="00420FBD" w:rsidRPr="0033055B" w:rsidRDefault="00EB1E33" w:rsidP="00846A0A">
            <w:pPr>
              <w:spacing w:after="0" w:line="240" w:lineRule="auto"/>
              <w:jc w:val="center"/>
            </w:pPr>
            <w:r>
              <w:t>2016</w:t>
            </w:r>
          </w:p>
        </w:tc>
      </w:tr>
      <w:tr w:rsidR="00A61297" w:rsidRPr="0033055B" w14:paraId="426F0286" w14:textId="77777777" w:rsidTr="007563F9">
        <w:trPr>
          <w:trHeight w:val="70"/>
          <w:jc w:val="center"/>
        </w:trPr>
        <w:tc>
          <w:tcPr>
            <w:tcW w:w="355" w:type="pct"/>
            <w:vAlign w:val="center"/>
          </w:tcPr>
          <w:p w14:paraId="5AEE119A" w14:textId="77777777" w:rsidR="00A61297" w:rsidRPr="0033055B" w:rsidRDefault="00EB1E33" w:rsidP="00A61297">
            <w:pPr>
              <w:autoSpaceDE w:val="0"/>
              <w:autoSpaceDN w:val="0"/>
              <w:adjustRightInd w:val="0"/>
              <w:spacing w:after="0" w:line="240" w:lineRule="auto"/>
              <w:jc w:val="both"/>
              <w:rPr>
                <w:rFonts w:cstheme="minorHAnsi"/>
              </w:rPr>
            </w:pPr>
            <w:r>
              <w:t>11</w:t>
            </w:r>
          </w:p>
        </w:tc>
        <w:tc>
          <w:tcPr>
            <w:tcW w:w="1414" w:type="pct"/>
            <w:vAlign w:val="center"/>
          </w:tcPr>
          <w:p w14:paraId="7A2629C4" w14:textId="77777777" w:rsidR="00A61297" w:rsidRPr="0033055B" w:rsidRDefault="00EB1E33" w:rsidP="00A61297">
            <w:pPr>
              <w:spacing w:after="0" w:line="240" w:lineRule="auto"/>
              <w:rPr>
                <w:iCs/>
              </w:rPr>
            </w:pPr>
            <w:r>
              <w:t>Rregulli për skemën mbështetëse (për mbështetjen e gjenerimit të energjisë elektrike nga BRE-të)</w:t>
            </w:r>
          </w:p>
        </w:tc>
        <w:tc>
          <w:tcPr>
            <w:tcW w:w="717" w:type="pct"/>
            <w:vAlign w:val="center"/>
          </w:tcPr>
          <w:p w14:paraId="251D48D4" w14:textId="77777777" w:rsidR="00A61297" w:rsidRPr="0033055B" w:rsidRDefault="00EB1E33" w:rsidP="00A61297">
            <w:pPr>
              <w:spacing w:after="0" w:line="240" w:lineRule="auto"/>
              <w:rPr>
                <w:iCs/>
              </w:rPr>
            </w:pPr>
            <w:r>
              <w:t xml:space="preserve">Rregullatore </w:t>
            </w:r>
          </w:p>
        </w:tc>
        <w:tc>
          <w:tcPr>
            <w:tcW w:w="1075" w:type="pct"/>
            <w:vAlign w:val="center"/>
          </w:tcPr>
          <w:p w14:paraId="6F7FB3F8" w14:textId="77777777" w:rsidR="00A61297" w:rsidRPr="0033055B" w:rsidRDefault="00EB1E33" w:rsidP="00A61297">
            <w:pPr>
              <w:spacing w:after="0" w:line="240" w:lineRule="auto"/>
              <w:rPr>
                <w:iCs/>
              </w:rPr>
            </w:pPr>
            <w:r>
              <w:t>Mbështetja e gjenerimit të energjisë elektrike nga BRE</w:t>
            </w:r>
          </w:p>
        </w:tc>
        <w:tc>
          <w:tcPr>
            <w:tcW w:w="846" w:type="pct"/>
            <w:vAlign w:val="center"/>
          </w:tcPr>
          <w:p w14:paraId="112831D3" w14:textId="77777777" w:rsidR="00A61297" w:rsidRPr="0033055B" w:rsidRDefault="00EB1E33" w:rsidP="00A61297">
            <w:pPr>
              <w:spacing w:after="0" w:line="240" w:lineRule="auto"/>
              <w:rPr>
                <w:iCs/>
              </w:rPr>
            </w:pPr>
            <w:r>
              <w:t>Investitorë, planifikues</w:t>
            </w:r>
          </w:p>
        </w:tc>
        <w:tc>
          <w:tcPr>
            <w:tcW w:w="593" w:type="pct"/>
            <w:vAlign w:val="center"/>
          </w:tcPr>
          <w:p w14:paraId="4E0C2186" w14:textId="5CE364CD" w:rsidR="00A61297" w:rsidRPr="0033055B" w:rsidRDefault="00EB1E33" w:rsidP="00846A0A">
            <w:pPr>
              <w:spacing w:after="0" w:line="240" w:lineRule="auto"/>
              <w:jc w:val="center"/>
              <w:rPr>
                <w:iCs/>
              </w:rPr>
            </w:pPr>
            <w:r>
              <w:t>2014-2017-</w:t>
            </w:r>
          </w:p>
        </w:tc>
      </w:tr>
      <w:tr w:rsidR="00A61297" w:rsidRPr="0033055B" w14:paraId="1E5039FD" w14:textId="77777777" w:rsidTr="007563F9">
        <w:trPr>
          <w:trHeight w:val="440"/>
          <w:jc w:val="center"/>
        </w:trPr>
        <w:tc>
          <w:tcPr>
            <w:tcW w:w="355" w:type="pct"/>
            <w:vAlign w:val="center"/>
          </w:tcPr>
          <w:p w14:paraId="37C09749" w14:textId="77777777" w:rsidR="00A61297" w:rsidRPr="0033055B" w:rsidRDefault="00EB1E33" w:rsidP="00A61297">
            <w:pPr>
              <w:autoSpaceDE w:val="0"/>
              <w:autoSpaceDN w:val="0"/>
              <w:adjustRightInd w:val="0"/>
              <w:spacing w:after="0" w:line="240" w:lineRule="auto"/>
              <w:jc w:val="both"/>
              <w:rPr>
                <w:rFonts w:cstheme="minorHAnsi"/>
              </w:rPr>
            </w:pPr>
            <w:r>
              <w:t>12</w:t>
            </w:r>
          </w:p>
        </w:tc>
        <w:tc>
          <w:tcPr>
            <w:tcW w:w="1414" w:type="pct"/>
            <w:vAlign w:val="center"/>
          </w:tcPr>
          <w:p w14:paraId="7278A5BB" w14:textId="6A0666CF" w:rsidR="00A61297" w:rsidRPr="0033055B" w:rsidRDefault="00EB1E33" w:rsidP="00A61297">
            <w:pPr>
              <w:spacing w:after="0" w:line="240" w:lineRule="auto"/>
              <w:rPr>
                <w:iCs/>
              </w:rPr>
            </w:pPr>
            <w:r>
              <w:t>Ha</w:t>
            </w:r>
            <w:r w:rsidR="0093664F">
              <w:t xml:space="preserve">rtimi i skemës së tarifës nxitës feed in tarif për energjin nga burimet e </w:t>
            </w:r>
            <w:r>
              <w:t xml:space="preserve"> ripërtërishme </w:t>
            </w:r>
            <w:r w:rsidR="0093664F">
              <w:t xml:space="preserve">dhe </w:t>
            </w:r>
            <w:r>
              <w:t>modelit financiar për biomasë</w:t>
            </w:r>
          </w:p>
        </w:tc>
        <w:tc>
          <w:tcPr>
            <w:tcW w:w="717" w:type="pct"/>
            <w:vAlign w:val="center"/>
          </w:tcPr>
          <w:p w14:paraId="197AEB73" w14:textId="77777777" w:rsidR="00A61297" w:rsidRPr="0033055B" w:rsidRDefault="00EB1E33" w:rsidP="00A61297">
            <w:pPr>
              <w:spacing w:after="0" w:line="240" w:lineRule="auto"/>
              <w:rPr>
                <w:iCs/>
              </w:rPr>
            </w:pPr>
            <w:r>
              <w:t xml:space="preserve">Rregullatore </w:t>
            </w:r>
          </w:p>
        </w:tc>
        <w:tc>
          <w:tcPr>
            <w:tcW w:w="1075" w:type="pct"/>
            <w:vAlign w:val="center"/>
          </w:tcPr>
          <w:p w14:paraId="1BA75FA4" w14:textId="77777777" w:rsidR="00A61297" w:rsidRPr="0033055B" w:rsidRDefault="00EB1E33" w:rsidP="00A61297">
            <w:pPr>
              <w:spacing w:after="0" w:line="240" w:lineRule="auto"/>
              <w:rPr>
                <w:iCs/>
              </w:rPr>
            </w:pPr>
            <w:r>
              <w:t xml:space="preserve">Rritja e gjenerimit të energjisë elektrike nga biomasa dhe interesimi publik për investime në sektorin e biomasës </w:t>
            </w:r>
          </w:p>
        </w:tc>
        <w:tc>
          <w:tcPr>
            <w:tcW w:w="846" w:type="pct"/>
            <w:vAlign w:val="center"/>
          </w:tcPr>
          <w:p w14:paraId="7F0CC747" w14:textId="77777777" w:rsidR="00A61297" w:rsidRPr="0033055B" w:rsidRDefault="00EB1E33" w:rsidP="00A61297">
            <w:pPr>
              <w:spacing w:after="0" w:line="240" w:lineRule="auto"/>
              <w:rPr>
                <w:iCs/>
              </w:rPr>
            </w:pPr>
            <w:r>
              <w:t>Investitorë, planifikues</w:t>
            </w:r>
          </w:p>
        </w:tc>
        <w:tc>
          <w:tcPr>
            <w:tcW w:w="593" w:type="pct"/>
            <w:vAlign w:val="center"/>
          </w:tcPr>
          <w:p w14:paraId="2845F18B" w14:textId="3BE1D87C" w:rsidR="00A61297" w:rsidRPr="0033055B" w:rsidRDefault="00EB1E33" w:rsidP="00846A0A">
            <w:pPr>
              <w:spacing w:after="0" w:line="240" w:lineRule="auto"/>
              <w:jc w:val="center"/>
              <w:rPr>
                <w:iCs/>
              </w:rPr>
            </w:pPr>
            <w:r>
              <w:t>2018-</w:t>
            </w:r>
          </w:p>
        </w:tc>
      </w:tr>
      <w:tr w:rsidR="00A61297" w:rsidRPr="0033055B" w14:paraId="42BA6CEB" w14:textId="77777777" w:rsidTr="007563F9">
        <w:trPr>
          <w:trHeight w:val="70"/>
          <w:jc w:val="center"/>
        </w:trPr>
        <w:tc>
          <w:tcPr>
            <w:tcW w:w="355" w:type="pct"/>
            <w:vAlign w:val="center"/>
          </w:tcPr>
          <w:p w14:paraId="06CD663F" w14:textId="77777777" w:rsidR="00A61297" w:rsidRPr="0033055B" w:rsidRDefault="00EB1E33" w:rsidP="00A61297">
            <w:pPr>
              <w:autoSpaceDE w:val="0"/>
              <w:autoSpaceDN w:val="0"/>
              <w:adjustRightInd w:val="0"/>
              <w:spacing w:after="0" w:line="240" w:lineRule="auto"/>
              <w:jc w:val="both"/>
              <w:rPr>
                <w:rFonts w:cstheme="minorHAnsi"/>
              </w:rPr>
            </w:pPr>
            <w:r>
              <w:t>13</w:t>
            </w:r>
          </w:p>
        </w:tc>
        <w:tc>
          <w:tcPr>
            <w:tcW w:w="1414" w:type="pct"/>
            <w:vAlign w:val="center"/>
          </w:tcPr>
          <w:p w14:paraId="10D82F5E" w14:textId="7BE8ACC1" w:rsidR="00A61297" w:rsidRPr="0033055B" w:rsidRDefault="00EB1E33" w:rsidP="00A61297">
            <w:pPr>
              <w:spacing w:after="0" w:line="240" w:lineRule="auto"/>
            </w:pPr>
            <w:r>
              <w:t>Procedura për autorizimin e ndërtimit të gjeneratorëve të vegjël të decentralizuar dhe/ose të shpërndarë(rregullorja Prosumer)</w:t>
            </w:r>
          </w:p>
        </w:tc>
        <w:tc>
          <w:tcPr>
            <w:tcW w:w="717" w:type="pct"/>
            <w:vAlign w:val="center"/>
          </w:tcPr>
          <w:p w14:paraId="509DF0A1" w14:textId="77777777" w:rsidR="00A61297" w:rsidRPr="0033055B" w:rsidRDefault="00EB1E33" w:rsidP="00A61297">
            <w:pPr>
              <w:spacing w:after="0" w:line="240" w:lineRule="auto"/>
              <w:rPr>
                <w:iCs/>
              </w:rPr>
            </w:pPr>
            <w:r>
              <w:t xml:space="preserve">Rregullatore </w:t>
            </w:r>
          </w:p>
        </w:tc>
        <w:tc>
          <w:tcPr>
            <w:tcW w:w="1075" w:type="pct"/>
            <w:vAlign w:val="center"/>
          </w:tcPr>
          <w:p w14:paraId="56253544" w14:textId="77777777" w:rsidR="00A61297" w:rsidRPr="0033055B" w:rsidRDefault="00EB1E33" w:rsidP="00A61297">
            <w:pPr>
              <w:spacing w:after="0" w:line="240" w:lineRule="auto"/>
              <w:rPr>
                <w:iCs/>
              </w:rPr>
            </w:pPr>
            <w:r>
              <w:t>Rritja e gjenerimit të energjisë elektrike nga sistemet e vogla të decentralizuara FV dhe mundësia e kyçjes në rrjet</w:t>
            </w:r>
          </w:p>
        </w:tc>
        <w:tc>
          <w:tcPr>
            <w:tcW w:w="846" w:type="pct"/>
            <w:vAlign w:val="center"/>
          </w:tcPr>
          <w:p w14:paraId="6C79574E" w14:textId="6AEF864C" w:rsidR="00A61297" w:rsidRPr="0033055B" w:rsidRDefault="0022227D" w:rsidP="00A61297">
            <w:pPr>
              <w:spacing w:after="0" w:line="240" w:lineRule="auto"/>
              <w:rPr>
                <w:iCs/>
              </w:rPr>
            </w:pPr>
            <w:r>
              <w:t xml:space="preserve">Amvisëritë, investitorët </w:t>
            </w:r>
          </w:p>
        </w:tc>
        <w:tc>
          <w:tcPr>
            <w:tcW w:w="593" w:type="pct"/>
            <w:vAlign w:val="center"/>
          </w:tcPr>
          <w:p w14:paraId="061730DE" w14:textId="5183973A" w:rsidR="00A61297" w:rsidRPr="0033055B" w:rsidRDefault="00EB1E33" w:rsidP="00401222">
            <w:pPr>
              <w:spacing w:after="0" w:line="240" w:lineRule="auto"/>
              <w:jc w:val="center"/>
              <w:rPr>
                <w:iCs/>
              </w:rPr>
            </w:pPr>
            <w:r>
              <w:t>2017-</w:t>
            </w:r>
          </w:p>
        </w:tc>
      </w:tr>
      <w:tr w:rsidR="00A61297" w:rsidRPr="0033055B" w14:paraId="4D47D31C" w14:textId="77777777" w:rsidTr="007563F9">
        <w:trPr>
          <w:trHeight w:val="1430"/>
          <w:jc w:val="center"/>
        </w:trPr>
        <w:tc>
          <w:tcPr>
            <w:tcW w:w="355" w:type="pct"/>
            <w:vAlign w:val="center"/>
          </w:tcPr>
          <w:p w14:paraId="04F15D06" w14:textId="77777777" w:rsidR="00A61297" w:rsidRPr="0033055B" w:rsidRDefault="00EB1E33" w:rsidP="00A61297">
            <w:pPr>
              <w:autoSpaceDE w:val="0"/>
              <w:autoSpaceDN w:val="0"/>
              <w:adjustRightInd w:val="0"/>
              <w:spacing w:after="0" w:line="240" w:lineRule="auto"/>
              <w:jc w:val="both"/>
              <w:rPr>
                <w:rFonts w:cstheme="minorHAnsi"/>
              </w:rPr>
            </w:pPr>
            <w:r>
              <w:t>14</w:t>
            </w:r>
          </w:p>
        </w:tc>
        <w:tc>
          <w:tcPr>
            <w:tcW w:w="1414" w:type="pct"/>
            <w:vAlign w:val="center"/>
          </w:tcPr>
          <w:p w14:paraId="3A8A6700" w14:textId="1A9EFAD8" w:rsidR="00A61297" w:rsidRPr="0033055B" w:rsidRDefault="00091742" w:rsidP="00A61297">
            <w:pPr>
              <w:spacing w:after="0" w:line="240" w:lineRule="auto"/>
            </w:pPr>
            <w:r>
              <w:t>Rregullorja nr. 05/2018 për One Stop Shop për BRE</w:t>
            </w:r>
          </w:p>
        </w:tc>
        <w:tc>
          <w:tcPr>
            <w:tcW w:w="717" w:type="pct"/>
            <w:vAlign w:val="center"/>
          </w:tcPr>
          <w:p w14:paraId="6A9E5133" w14:textId="77777777" w:rsidR="00A61297" w:rsidRPr="0033055B" w:rsidRDefault="00EB1E33" w:rsidP="00A61297">
            <w:pPr>
              <w:spacing w:after="0" w:line="240" w:lineRule="auto"/>
              <w:rPr>
                <w:iCs/>
              </w:rPr>
            </w:pPr>
            <w:r>
              <w:t xml:space="preserve">Institucionale </w:t>
            </w:r>
          </w:p>
        </w:tc>
        <w:tc>
          <w:tcPr>
            <w:tcW w:w="1075" w:type="pct"/>
            <w:vAlign w:val="center"/>
          </w:tcPr>
          <w:p w14:paraId="569E0870" w14:textId="77777777" w:rsidR="00A61297" w:rsidRPr="0033055B" w:rsidRDefault="00EB1E33" w:rsidP="00A61297">
            <w:pPr>
              <w:spacing w:after="0" w:line="240" w:lineRule="auto"/>
              <w:rPr>
                <w:iCs/>
              </w:rPr>
            </w:pPr>
            <w:r>
              <w:t>Mundësimi i projekteve të BRE-ve ndërmjet aktiviteteve informuese dhe koordinuese</w:t>
            </w:r>
          </w:p>
        </w:tc>
        <w:tc>
          <w:tcPr>
            <w:tcW w:w="846" w:type="pct"/>
            <w:vAlign w:val="center"/>
          </w:tcPr>
          <w:p w14:paraId="07B694A5" w14:textId="020006BA" w:rsidR="00A61297" w:rsidRPr="0033055B" w:rsidRDefault="00EB1E33" w:rsidP="00A61297">
            <w:pPr>
              <w:spacing w:after="0" w:line="240" w:lineRule="auto"/>
              <w:rPr>
                <w:iCs/>
              </w:rPr>
            </w:pPr>
            <w:r>
              <w:t>Institucionet qendrore, ZRRE, MMPH, si dhe institucionet lokale; investitorët privatë</w:t>
            </w:r>
          </w:p>
        </w:tc>
        <w:tc>
          <w:tcPr>
            <w:tcW w:w="593" w:type="pct"/>
            <w:vAlign w:val="center"/>
          </w:tcPr>
          <w:p w14:paraId="02713D43" w14:textId="404D64DC" w:rsidR="00A61297" w:rsidRPr="0033055B" w:rsidRDefault="00EB1E33" w:rsidP="00846A0A">
            <w:pPr>
              <w:spacing w:after="0" w:line="240" w:lineRule="auto"/>
              <w:jc w:val="center"/>
              <w:rPr>
                <w:iCs/>
              </w:rPr>
            </w:pPr>
            <w:r>
              <w:t>2018-</w:t>
            </w:r>
          </w:p>
        </w:tc>
      </w:tr>
      <w:tr w:rsidR="00A61297" w:rsidRPr="0033055B" w14:paraId="194961BC" w14:textId="77777777" w:rsidTr="00181E9D">
        <w:trPr>
          <w:trHeight w:val="70"/>
          <w:jc w:val="center"/>
        </w:trPr>
        <w:tc>
          <w:tcPr>
            <w:tcW w:w="5000" w:type="pct"/>
            <w:gridSpan w:val="6"/>
            <w:vAlign w:val="center"/>
          </w:tcPr>
          <w:p w14:paraId="577AB39D" w14:textId="77777777" w:rsidR="00A61297" w:rsidRPr="0033055B" w:rsidRDefault="00EB1E33" w:rsidP="00A61297">
            <w:pPr>
              <w:autoSpaceDE w:val="0"/>
              <w:autoSpaceDN w:val="0"/>
              <w:adjustRightInd w:val="0"/>
              <w:spacing w:after="0" w:line="240" w:lineRule="auto"/>
              <w:rPr>
                <w:rFonts w:cstheme="minorHAnsi"/>
              </w:rPr>
            </w:pPr>
            <w:r>
              <w:rPr>
                <w:b/>
              </w:rPr>
              <w:t>Ngrohja dhe ftohja</w:t>
            </w:r>
          </w:p>
        </w:tc>
      </w:tr>
      <w:tr w:rsidR="00A61297" w:rsidRPr="0033055B" w14:paraId="5F970F91" w14:textId="77777777" w:rsidTr="007563F9">
        <w:trPr>
          <w:trHeight w:val="70"/>
          <w:jc w:val="center"/>
        </w:trPr>
        <w:tc>
          <w:tcPr>
            <w:tcW w:w="355" w:type="pct"/>
            <w:vAlign w:val="center"/>
          </w:tcPr>
          <w:p w14:paraId="2F3718A7" w14:textId="77777777" w:rsidR="00A61297" w:rsidRPr="0033055B" w:rsidRDefault="00EB1E33" w:rsidP="00A61297">
            <w:pPr>
              <w:autoSpaceDE w:val="0"/>
              <w:autoSpaceDN w:val="0"/>
              <w:adjustRightInd w:val="0"/>
              <w:spacing w:after="0" w:line="240" w:lineRule="auto"/>
              <w:jc w:val="both"/>
              <w:rPr>
                <w:rFonts w:cstheme="minorHAnsi"/>
              </w:rPr>
            </w:pPr>
            <w:r>
              <w:t>1</w:t>
            </w:r>
          </w:p>
        </w:tc>
        <w:tc>
          <w:tcPr>
            <w:tcW w:w="1414" w:type="pct"/>
            <w:vAlign w:val="center"/>
          </w:tcPr>
          <w:p w14:paraId="6FB990B6" w14:textId="77777777" w:rsidR="00A61297" w:rsidRPr="0033055B" w:rsidRDefault="00A61297" w:rsidP="00A61297">
            <w:pPr>
              <w:autoSpaceDE w:val="0"/>
              <w:autoSpaceDN w:val="0"/>
              <w:adjustRightInd w:val="0"/>
              <w:spacing w:after="0" w:line="240" w:lineRule="auto"/>
              <w:rPr>
                <w:rFonts w:cstheme="minorHAnsi"/>
              </w:rPr>
            </w:pPr>
            <w:r>
              <w:t>Studimi për shfrytëzimin e energjisë diellore</w:t>
            </w:r>
          </w:p>
        </w:tc>
        <w:tc>
          <w:tcPr>
            <w:tcW w:w="717" w:type="pct"/>
            <w:vAlign w:val="center"/>
          </w:tcPr>
          <w:p w14:paraId="3CF19259" w14:textId="77777777" w:rsidR="00A61297" w:rsidRPr="0033055B" w:rsidRDefault="00A61297" w:rsidP="00A61297">
            <w:pPr>
              <w:tabs>
                <w:tab w:val="left" w:pos="393"/>
              </w:tabs>
              <w:autoSpaceDE w:val="0"/>
              <w:autoSpaceDN w:val="0"/>
              <w:adjustRightInd w:val="0"/>
              <w:spacing w:after="0" w:line="240" w:lineRule="auto"/>
              <w:rPr>
                <w:rFonts w:cstheme="minorHAnsi"/>
              </w:rPr>
            </w:pPr>
            <w:r>
              <w:t>Studim</w:t>
            </w:r>
          </w:p>
        </w:tc>
        <w:tc>
          <w:tcPr>
            <w:tcW w:w="1075" w:type="pct"/>
            <w:vAlign w:val="center"/>
          </w:tcPr>
          <w:p w14:paraId="1A884078" w14:textId="77777777" w:rsidR="00A61297" w:rsidRPr="0033055B" w:rsidRDefault="00A61297" w:rsidP="00A61297">
            <w:pPr>
              <w:autoSpaceDE w:val="0"/>
              <w:autoSpaceDN w:val="0"/>
              <w:adjustRightInd w:val="0"/>
              <w:spacing w:after="0" w:line="240" w:lineRule="auto"/>
              <w:rPr>
                <w:rFonts w:cstheme="minorHAnsi"/>
              </w:rPr>
            </w:pPr>
            <w:r>
              <w:t>identifikimi i potencialit diellor</w:t>
            </w:r>
          </w:p>
        </w:tc>
        <w:tc>
          <w:tcPr>
            <w:tcW w:w="846" w:type="pct"/>
            <w:vAlign w:val="center"/>
          </w:tcPr>
          <w:p w14:paraId="781DF0CA" w14:textId="77777777" w:rsidR="00A61297" w:rsidRPr="0033055B" w:rsidRDefault="00A61297" w:rsidP="00A61297">
            <w:pPr>
              <w:autoSpaceDE w:val="0"/>
              <w:autoSpaceDN w:val="0"/>
              <w:adjustRightInd w:val="0"/>
              <w:spacing w:after="0" w:line="240" w:lineRule="auto"/>
              <w:rPr>
                <w:rFonts w:cstheme="minorHAnsi"/>
              </w:rPr>
            </w:pPr>
            <w:r>
              <w:t>Investitorët dhe institucionet</w:t>
            </w:r>
          </w:p>
        </w:tc>
        <w:tc>
          <w:tcPr>
            <w:tcW w:w="593" w:type="pct"/>
            <w:vAlign w:val="center"/>
          </w:tcPr>
          <w:p w14:paraId="2FAB743D" w14:textId="26662FEA" w:rsidR="00A61297" w:rsidRPr="0033055B" w:rsidRDefault="00A61297" w:rsidP="00846A0A">
            <w:pPr>
              <w:autoSpaceDE w:val="0"/>
              <w:autoSpaceDN w:val="0"/>
              <w:adjustRightInd w:val="0"/>
              <w:spacing w:after="0" w:line="240" w:lineRule="auto"/>
              <w:jc w:val="center"/>
              <w:rPr>
                <w:rFonts w:cstheme="minorHAnsi"/>
              </w:rPr>
            </w:pPr>
            <w:r>
              <w:t>2010-</w:t>
            </w:r>
          </w:p>
        </w:tc>
      </w:tr>
      <w:tr w:rsidR="00A61297" w:rsidRPr="0033055B" w14:paraId="33C3CC53" w14:textId="77777777" w:rsidTr="007563F9">
        <w:trPr>
          <w:trHeight w:val="70"/>
          <w:jc w:val="center"/>
        </w:trPr>
        <w:tc>
          <w:tcPr>
            <w:tcW w:w="355" w:type="pct"/>
            <w:vAlign w:val="center"/>
          </w:tcPr>
          <w:p w14:paraId="413D0B7C" w14:textId="77777777" w:rsidR="00A61297" w:rsidRPr="0033055B" w:rsidRDefault="00F31597" w:rsidP="00A61297">
            <w:pPr>
              <w:autoSpaceDE w:val="0"/>
              <w:autoSpaceDN w:val="0"/>
              <w:adjustRightInd w:val="0"/>
              <w:spacing w:after="0" w:line="240" w:lineRule="auto"/>
              <w:jc w:val="both"/>
              <w:rPr>
                <w:rFonts w:cstheme="minorHAnsi"/>
              </w:rPr>
            </w:pPr>
            <w:r>
              <w:t>2</w:t>
            </w:r>
          </w:p>
        </w:tc>
        <w:tc>
          <w:tcPr>
            <w:tcW w:w="1414" w:type="pct"/>
            <w:vAlign w:val="center"/>
          </w:tcPr>
          <w:p w14:paraId="5DEE7DC5" w14:textId="37FB8B3A" w:rsidR="00A61297" w:rsidRPr="0033055B" w:rsidRDefault="00ED480C" w:rsidP="00A61297">
            <w:pPr>
              <w:spacing w:after="0" w:line="240" w:lineRule="auto"/>
              <w:rPr>
                <w:rFonts w:cstheme="minorHAnsi"/>
              </w:rPr>
            </w:pPr>
            <w:r>
              <w:t>F</w:t>
            </w:r>
            <w:r w:rsidR="00A61297">
              <w:t>ormimi i grupimeve (cluster) për rritje të shfrytëzimit të biomasës (peletit) dhe atyre solare</w:t>
            </w:r>
          </w:p>
        </w:tc>
        <w:tc>
          <w:tcPr>
            <w:tcW w:w="717" w:type="pct"/>
            <w:vAlign w:val="center"/>
          </w:tcPr>
          <w:p w14:paraId="215BD3B9" w14:textId="77777777" w:rsidR="00A61297" w:rsidRPr="0033055B" w:rsidRDefault="00A61297" w:rsidP="00A61297">
            <w:pPr>
              <w:spacing w:after="0" w:line="240" w:lineRule="auto"/>
              <w:rPr>
                <w:rFonts w:cstheme="minorHAnsi"/>
              </w:rPr>
            </w:pPr>
            <w:r>
              <w:t xml:space="preserve">Përkrahje financiare </w:t>
            </w:r>
          </w:p>
        </w:tc>
        <w:tc>
          <w:tcPr>
            <w:tcW w:w="1075" w:type="pct"/>
            <w:vAlign w:val="center"/>
          </w:tcPr>
          <w:p w14:paraId="5AD61BEC" w14:textId="77777777" w:rsidR="00A61297" w:rsidRPr="0033055B" w:rsidRDefault="00A61297" w:rsidP="00A61297">
            <w:pPr>
              <w:spacing w:after="0" w:line="240" w:lineRule="auto"/>
              <w:rPr>
                <w:rFonts w:cstheme="minorHAnsi"/>
              </w:rPr>
            </w:pPr>
            <w:r>
              <w:t xml:space="preserve">Formimi i grupimeve që merren me të gjitha aspektet e prodhimit të peletit dhe zbatimi i projekteve me energji diellore </w:t>
            </w:r>
          </w:p>
        </w:tc>
        <w:tc>
          <w:tcPr>
            <w:tcW w:w="846" w:type="pct"/>
            <w:vAlign w:val="center"/>
          </w:tcPr>
          <w:p w14:paraId="62FA2405" w14:textId="77777777" w:rsidR="00A61297" w:rsidRPr="0033055B" w:rsidRDefault="00A61297" w:rsidP="00A61297">
            <w:pPr>
              <w:spacing w:after="0" w:line="240" w:lineRule="auto"/>
              <w:rPr>
                <w:rFonts w:cstheme="minorHAnsi"/>
              </w:rPr>
            </w:pPr>
            <w:r>
              <w:t xml:space="preserve">Prodhuesit e peletit, prodhuesit e pajisjeve për dru, instaluesit e paneleve diellore, si dhe sistemeve FV </w:t>
            </w:r>
          </w:p>
        </w:tc>
        <w:tc>
          <w:tcPr>
            <w:tcW w:w="593" w:type="pct"/>
            <w:vAlign w:val="center"/>
          </w:tcPr>
          <w:p w14:paraId="3144B440" w14:textId="3948EB44" w:rsidR="00A61297" w:rsidRPr="0033055B" w:rsidRDefault="00A61297" w:rsidP="00846A0A">
            <w:pPr>
              <w:spacing w:after="0" w:line="240" w:lineRule="auto"/>
              <w:jc w:val="center"/>
              <w:rPr>
                <w:rFonts w:cstheme="minorHAnsi"/>
              </w:rPr>
            </w:pPr>
            <w:r>
              <w:t>2014-</w:t>
            </w:r>
          </w:p>
        </w:tc>
      </w:tr>
      <w:tr w:rsidR="00CE5C94" w:rsidRPr="0033055B" w14:paraId="741B9928" w14:textId="77777777" w:rsidTr="007563F9">
        <w:trPr>
          <w:trHeight w:val="70"/>
          <w:jc w:val="center"/>
        </w:trPr>
        <w:tc>
          <w:tcPr>
            <w:tcW w:w="355" w:type="pct"/>
            <w:vAlign w:val="center"/>
          </w:tcPr>
          <w:p w14:paraId="79825428" w14:textId="77777777" w:rsidR="00CE5C94" w:rsidRPr="0033055B" w:rsidRDefault="00CE5C94" w:rsidP="00A61297">
            <w:pPr>
              <w:autoSpaceDE w:val="0"/>
              <w:autoSpaceDN w:val="0"/>
              <w:adjustRightInd w:val="0"/>
              <w:spacing w:after="0" w:line="240" w:lineRule="auto"/>
              <w:jc w:val="both"/>
              <w:rPr>
                <w:rFonts w:cstheme="minorHAnsi"/>
              </w:rPr>
            </w:pPr>
            <w:r>
              <w:t>3</w:t>
            </w:r>
          </w:p>
        </w:tc>
        <w:tc>
          <w:tcPr>
            <w:tcW w:w="1414" w:type="pct"/>
            <w:vAlign w:val="center"/>
          </w:tcPr>
          <w:p w14:paraId="17E371BA" w14:textId="77777777" w:rsidR="00CE5C94" w:rsidRPr="0033055B" w:rsidRDefault="00CE5C94" w:rsidP="00A61297">
            <w:pPr>
              <w:spacing w:after="0" w:line="240" w:lineRule="auto"/>
              <w:rPr>
                <w:rFonts w:cstheme="minorHAnsi"/>
              </w:rPr>
            </w:pPr>
            <w:r>
              <w:t>Ligji për Energjinë Termike</w:t>
            </w:r>
          </w:p>
        </w:tc>
        <w:tc>
          <w:tcPr>
            <w:tcW w:w="717" w:type="pct"/>
            <w:vAlign w:val="center"/>
          </w:tcPr>
          <w:p w14:paraId="0B8EB554" w14:textId="77777777" w:rsidR="00CE5C94" w:rsidRPr="0033055B" w:rsidRDefault="00CE5C94" w:rsidP="00A61297">
            <w:pPr>
              <w:spacing w:after="0" w:line="240" w:lineRule="auto"/>
              <w:rPr>
                <w:rFonts w:cstheme="minorHAnsi"/>
              </w:rPr>
            </w:pPr>
            <w:r>
              <w:t>Rregullatore</w:t>
            </w:r>
          </w:p>
        </w:tc>
        <w:tc>
          <w:tcPr>
            <w:tcW w:w="1075" w:type="pct"/>
            <w:vAlign w:val="center"/>
          </w:tcPr>
          <w:p w14:paraId="7CCF194D" w14:textId="77777777" w:rsidR="00CE5C94" w:rsidRPr="0033055B" w:rsidRDefault="00CE5C94" w:rsidP="00A61297">
            <w:pPr>
              <w:spacing w:after="0" w:line="240" w:lineRule="auto"/>
              <w:rPr>
                <w:rFonts w:cstheme="minorHAnsi"/>
              </w:rPr>
            </w:pPr>
            <w:r>
              <w:t>Rritja e BRE-ve në prodhimin e ngrohjes</w:t>
            </w:r>
          </w:p>
        </w:tc>
        <w:tc>
          <w:tcPr>
            <w:tcW w:w="846" w:type="pct"/>
            <w:vAlign w:val="center"/>
          </w:tcPr>
          <w:p w14:paraId="300A8B3F" w14:textId="77777777" w:rsidR="00CE5C94" w:rsidRPr="0033055B" w:rsidRDefault="00CE5C94" w:rsidP="00A61297">
            <w:pPr>
              <w:spacing w:after="0" w:line="240" w:lineRule="auto"/>
              <w:rPr>
                <w:rFonts w:cstheme="minorHAnsi"/>
              </w:rPr>
            </w:pPr>
            <w:r>
              <w:t>Investitorë, planifikues</w:t>
            </w:r>
          </w:p>
        </w:tc>
        <w:tc>
          <w:tcPr>
            <w:tcW w:w="593" w:type="pct"/>
            <w:vAlign w:val="center"/>
          </w:tcPr>
          <w:p w14:paraId="1F8CB57F" w14:textId="3D765F94" w:rsidR="00CE5C94" w:rsidRPr="0033055B" w:rsidRDefault="00CE5C94" w:rsidP="00846A0A">
            <w:pPr>
              <w:spacing w:after="0" w:line="240" w:lineRule="auto"/>
              <w:jc w:val="center"/>
              <w:rPr>
                <w:rFonts w:cstheme="minorHAnsi"/>
              </w:rPr>
            </w:pPr>
            <w:r>
              <w:t>2015-</w:t>
            </w:r>
          </w:p>
        </w:tc>
      </w:tr>
      <w:tr w:rsidR="00F31597" w:rsidRPr="0033055B" w14:paraId="5479184C" w14:textId="77777777" w:rsidTr="007563F9">
        <w:trPr>
          <w:trHeight w:val="70"/>
          <w:jc w:val="center"/>
        </w:trPr>
        <w:tc>
          <w:tcPr>
            <w:tcW w:w="355" w:type="pct"/>
            <w:vAlign w:val="center"/>
          </w:tcPr>
          <w:p w14:paraId="61CF936F" w14:textId="77777777" w:rsidR="00F31597" w:rsidRPr="0033055B" w:rsidRDefault="00A00762" w:rsidP="00F31597">
            <w:pPr>
              <w:autoSpaceDE w:val="0"/>
              <w:autoSpaceDN w:val="0"/>
              <w:adjustRightInd w:val="0"/>
              <w:spacing w:after="0" w:line="240" w:lineRule="auto"/>
              <w:jc w:val="both"/>
              <w:rPr>
                <w:rFonts w:cstheme="minorHAnsi"/>
              </w:rPr>
            </w:pPr>
            <w:r>
              <w:t>4</w:t>
            </w:r>
          </w:p>
        </w:tc>
        <w:tc>
          <w:tcPr>
            <w:tcW w:w="1414" w:type="pct"/>
            <w:vAlign w:val="center"/>
          </w:tcPr>
          <w:p w14:paraId="7357E58F" w14:textId="77777777" w:rsidR="00F31597" w:rsidRPr="0033055B" w:rsidRDefault="00F31597" w:rsidP="00F31597">
            <w:pPr>
              <w:spacing w:after="0" w:line="240" w:lineRule="auto"/>
              <w:rPr>
                <w:rFonts w:cstheme="minorHAnsi"/>
              </w:rPr>
            </w:pPr>
            <w:r>
              <w:t xml:space="preserve">Ligji për performancën energjetike </w:t>
            </w:r>
          </w:p>
        </w:tc>
        <w:tc>
          <w:tcPr>
            <w:tcW w:w="717" w:type="pct"/>
            <w:vAlign w:val="center"/>
          </w:tcPr>
          <w:p w14:paraId="0E0E8FCB" w14:textId="77777777" w:rsidR="00F31597" w:rsidRPr="0033055B" w:rsidRDefault="00F31597" w:rsidP="00F31597">
            <w:pPr>
              <w:spacing w:after="0" w:line="240" w:lineRule="auto"/>
              <w:rPr>
                <w:rFonts w:cstheme="minorHAnsi"/>
              </w:rPr>
            </w:pPr>
            <w:r>
              <w:t>Rregullatore</w:t>
            </w:r>
          </w:p>
        </w:tc>
        <w:tc>
          <w:tcPr>
            <w:tcW w:w="1075" w:type="pct"/>
            <w:vAlign w:val="center"/>
          </w:tcPr>
          <w:p w14:paraId="5FAF2780" w14:textId="77777777" w:rsidR="00F31597" w:rsidRPr="0033055B" w:rsidRDefault="00F31597" w:rsidP="00F31597">
            <w:pPr>
              <w:spacing w:after="0" w:line="240" w:lineRule="auto"/>
              <w:rPr>
                <w:rFonts w:cstheme="minorHAnsi"/>
              </w:rPr>
            </w:pPr>
            <w:r>
              <w:t>rritja e shfrytëzimit të BRE-ve në objekte të reja dhe objekte që renovohen në masë të madhe</w:t>
            </w:r>
          </w:p>
        </w:tc>
        <w:tc>
          <w:tcPr>
            <w:tcW w:w="846" w:type="pct"/>
            <w:vAlign w:val="center"/>
          </w:tcPr>
          <w:p w14:paraId="5D8B41A6" w14:textId="77777777" w:rsidR="00F31597" w:rsidRPr="0033055B" w:rsidRDefault="00F31597" w:rsidP="00F31597">
            <w:pPr>
              <w:spacing w:after="0" w:line="240" w:lineRule="auto"/>
              <w:rPr>
                <w:rFonts w:cstheme="minorHAnsi"/>
              </w:rPr>
            </w:pPr>
            <w:r>
              <w:t xml:space="preserve">Investitorë, instalues </w:t>
            </w:r>
          </w:p>
        </w:tc>
        <w:tc>
          <w:tcPr>
            <w:tcW w:w="593" w:type="pct"/>
            <w:vAlign w:val="center"/>
          </w:tcPr>
          <w:p w14:paraId="42626994" w14:textId="013D7C5F" w:rsidR="00F31597" w:rsidRPr="0033055B" w:rsidRDefault="00F31597" w:rsidP="00846A0A">
            <w:pPr>
              <w:spacing w:after="0" w:line="240" w:lineRule="auto"/>
              <w:jc w:val="center"/>
              <w:rPr>
                <w:rFonts w:cstheme="minorHAnsi"/>
              </w:rPr>
            </w:pPr>
            <w:r>
              <w:t>2016-</w:t>
            </w:r>
          </w:p>
        </w:tc>
      </w:tr>
      <w:tr w:rsidR="00A61297" w:rsidRPr="0033055B" w14:paraId="3101E934" w14:textId="77777777" w:rsidTr="00181E9D">
        <w:trPr>
          <w:trHeight w:val="70"/>
          <w:jc w:val="center"/>
        </w:trPr>
        <w:tc>
          <w:tcPr>
            <w:tcW w:w="5000" w:type="pct"/>
            <w:gridSpan w:val="6"/>
            <w:vAlign w:val="center"/>
          </w:tcPr>
          <w:p w14:paraId="44A60B07" w14:textId="77777777" w:rsidR="00A61297" w:rsidRPr="0033055B" w:rsidRDefault="00A61297" w:rsidP="00A61297">
            <w:pPr>
              <w:autoSpaceDE w:val="0"/>
              <w:autoSpaceDN w:val="0"/>
              <w:adjustRightInd w:val="0"/>
              <w:spacing w:after="0" w:line="240" w:lineRule="auto"/>
              <w:rPr>
                <w:rFonts w:cstheme="minorHAnsi"/>
                <w:b/>
              </w:rPr>
            </w:pPr>
            <w:r>
              <w:rPr>
                <w:b/>
              </w:rPr>
              <w:t>Transporti</w:t>
            </w:r>
          </w:p>
        </w:tc>
      </w:tr>
      <w:tr w:rsidR="00A61297" w:rsidRPr="0033055B" w14:paraId="4C00AF86" w14:textId="77777777" w:rsidTr="007563F9">
        <w:trPr>
          <w:trHeight w:val="70"/>
          <w:jc w:val="center"/>
        </w:trPr>
        <w:tc>
          <w:tcPr>
            <w:tcW w:w="355" w:type="pct"/>
            <w:vAlign w:val="center"/>
          </w:tcPr>
          <w:p w14:paraId="315C4BAE" w14:textId="77777777" w:rsidR="00A61297" w:rsidRPr="0033055B" w:rsidRDefault="00A61297" w:rsidP="00A61297">
            <w:pPr>
              <w:autoSpaceDE w:val="0"/>
              <w:autoSpaceDN w:val="0"/>
              <w:adjustRightInd w:val="0"/>
              <w:spacing w:after="0" w:line="240" w:lineRule="auto"/>
              <w:jc w:val="both"/>
              <w:rPr>
                <w:rFonts w:cstheme="minorHAnsi"/>
              </w:rPr>
            </w:pPr>
            <w:r>
              <w:t>1</w:t>
            </w:r>
          </w:p>
        </w:tc>
        <w:tc>
          <w:tcPr>
            <w:tcW w:w="1414" w:type="pct"/>
            <w:vAlign w:val="center"/>
          </w:tcPr>
          <w:p w14:paraId="3CD0193E" w14:textId="77777777" w:rsidR="00A61297" w:rsidRPr="0033055B" w:rsidRDefault="00A61297" w:rsidP="00A61297">
            <w:pPr>
              <w:autoSpaceDE w:val="0"/>
              <w:autoSpaceDN w:val="0"/>
              <w:adjustRightInd w:val="0"/>
              <w:spacing w:after="0" w:line="240" w:lineRule="auto"/>
              <w:rPr>
                <w:rFonts w:cstheme="minorHAnsi"/>
              </w:rPr>
            </w:pPr>
            <w:r>
              <w:t>Studimi për zhvillimin e prodhimit të energjisë nga bio-lëndët</w:t>
            </w:r>
          </w:p>
        </w:tc>
        <w:tc>
          <w:tcPr>
            <w:tcW w:w="717" w:type="pct"/>
            <w:vAlign w:val="center"/>
          </w:tcPr>
          <w:p w14:paraId="166540DC" w14:textId="77777777" w:rsidR="00A61297" w:rsidRPr="0033055B" w:rsidRDefault="00A61297" w:rsidP="00A61297">
            <w:pPr>
              <w:spacing w:after="0" w:line="240" w:lineRule="auto"/>
            </w:pPr>
            <w:r>
              <w:t>Studim</w:t>
            </w:r>
          </w:p>
        </w:tc>
        <w:tc>
          <w:tcPr>
            <w:tcW w:w="1075" w:type="pct"/>
            <w:vAlign w:val="center"/>
          </w:tcPr>
          <w:p w14:paraId="4575E986" w14:textId="77777777" w:rsidR="00A61297" w:rsidRPr="0033055B" w:rsidRDefault="00A61297" w:rsidP="00A61297">
            <w:pPr>
              <w:autoSpaceDE w:val="0"/>
              <w:autoSpaceDN w:val="0"/>
              <w:adjustRightInd w:val="0"/>
              <w:spacing w:after="0" w:line="240" w:lineRule="auto"/>
              <w:rPr>
                <w:rFonts w:cstheme="minorHAnsi"/>
              </w:rPr>
            </w:pPr>
            <w:r>
              <w:t>Krijimi i databazës për përdorimin e bio-lëndëve dhe tërheqja e investimeve</w:t>
            </w:r>
          </w:p>
        </w:tc>
        <w:tc>
          <w:tcPr>
            <w:tcW w:w="846" w:type="pct"/>
            <w:vAlign w:val="center"/>
          </w:tcPr>
          <w:p w14:paraId="578C9CF5" w14:textId="4FF6EE9C" w:rsidR="00A61297" w:rsidRPr="0033055B" w:rsidRDefault="00A61297" w:rsidP="00A61297">
            <w:pPr>
              <w:autoSpaceDE w:val="0"/>
              <w:autoSpaceDN w:val="0"/>
              <w:adjustRightInd w:val="0"/>
              <w:spacing w:after="0" w:line="240" w:lineRule="auto"/>
              <w:rPr>
                <w:rFonts w:cstheme="minorHAnsi"/>
              </w:rPr>
            </w:pPr>
            <w:r>
              <w:t>Institucionet publike, planifikuesit dhe investitorët</w:t>
            </w:r>
          </w:p>
        </w:tc>
        <w:tc>
          <w:tcPr>
            <w:tcW w:w="593" w:type="pct"/>
            <w:vAlign w:val="center"/>
          </w:tcPr>
          <w:p w14:paraId="486E56B1" w14:textId="2ED9068E" w:rsidR="00A61297" w:rsidRPr="0033055B" w:rsidRDefault="00A61297" w:rsidP="00846A0A">
            <w:pPr>
              <w:autoSpaceDE w:val="0"/>
              <w:autoSpaceDN w:val="0"/>
              <w:adjustRightInd w:val="0"/>
              <w:spacing w:after="0" w:line="240" w:lineRule="auto"/>
              <w:jc w:val="center"/>
              <w:rPr>
                <w:rFonts w:cstheme="minorHAnsi"/>
              </w:rPr>
            </w:pPr>
            <w:r>
              <w:t>2012-</w:t>
            </w:r>
          </w:p>
        </w:tc>
      </w:tr>
      <w:tr w:rsidR="00A61297" w:rsidRPr="0033055B" w14:paraId="17BD41C7" w14:textId="77777777" w:rsidTr="00181E9D">
        <w:trPr>
          <w:trHeight w:val="70"/>
          <w:jc w:val="center"/>
        </w:trPr>
        <w:tc>
          <w:tcPr>
            <w:tcW w:w="5000" w:type="pct"/>
            <w:gridSpan w:val="6"/>
            <w:vAlign w:val="center"/>
          </w:tcPr>
          <w:p w14:paraId="515A7EBF" w14:textId="77777777" w:rsidR="00A61297" w:rsidRPr="0033055B" w:rsidRDefault="00A61297" w:rsidP="00A61297">
            <w:pPr>
              <w:autoSpaceDE w:val="0"/>
              <w:autoSpaceDN w:val="0"/>
              <w:adjustRightInd w:val="0"/>
              <w:spacing w:after="0" w:line="240" w:lineRule="auto"/>
              <w:rPr>
                <w:rFonts w:cstheme="minorHAnsi"/>
              </w:rPr>
            </w:pPr>
            <w:r>
              <w:rPr>
                <w:b/>
              </w:rPr>
              <w:t xml:space="preserve">Ndërsektorale </w:t>
            </w:r>
          </w:p>
        </w:tc>
      </w:tr>
      <w:tr w:rsidR="00A61297" w:rsidRPr="0033055B" w14:paraId="00578451" w14:textId="77777777" w:rsidTr="007563F9">
        <w:trPr>
          <w:trHeight w:val="70"/>
          <w:jc w:val="center"/>
        </w:trPr>
        <w:tc>
          <w:tcPr>
            <w:tcW w:w="355" w:type="pct"/>
            <w:vAlign w:val="center"/>
          </w:tcPr>
          <w:p w14:paraId="52912158" w14:textId="77777777" w:rsidR="00A61297" w:rsidRPr="0033055B" w:rsidRDefault="00A61297" w:rsidP="00A61297">
            <w:pPr>
              <w:autoSpaceDE w:val="0"/>
              <w:autoSpaceDN w:val="0"/>
              <w:adjustRightInd w:val="0"/>
              <w:spacing w:after="0" w:line="240" w:lineRule="auto"/>
              <w:jc w:val="both"/>
              <w:rPr>
                <w:rFonts w:cstheme="minorHAnsi"/>
              </w:rPr>
            </w:pPr>
            <w:r>
              <w:t>1</w:t>
            </w:r>
          </w:p>
        </w:tc>
        <w:tc>
          <w:tcPr>
            <w:tcW w:w="1414" w:type="pct"/>
            <w:vAlign w:val="center"/>
          </w:tcPr>
          <w:p w14:paraId="24B913B3" w14:textId="77777777" w:rsidR="00A61297" w:rsidRPr="0033055B" w:rsidRDefault="00A61297" w:rsidP="00A61297">
            <w:pPr>
              <w:autoSpaceDE w:val="0"/>
              <w:autoSpaceDN w:val="0"/>
              <w:adjustRightInd w:val="0"/>
              <w:spacing w:after="0" w:line="240" w:lineRule="auto"/>
              <w:rPr>
                <w:rFonts w:cstheme="minorHAnsi"/>
              </w:rPr>
            </w:pPr>
            <w:r>
              <w:t>Programi i Kosovës për Efiçiencë të Energjisë dhe BRE</w:t>
            </w:r>
          </w:p>
        </w:tc>
        <w:tc>
          <w:tcPr>
            <w:tcW w:w="717" w:type="pct"/>
            <w:vAlign w:val="center"/>
          </w:tcPr>
          <w:p w14:paraId="6B356EA0" w14:textId="77777777" w:rsidR="00A61297" w:rsidRPr="0033055B" w:rsidRDefault="00A61297" w:rsidP="00A61297">
            <w:pPr>
              <w:spacing w:after="0" w:line="240" w:lineRule="auto"/>
            </w:pPr>
            <w:r>
              <w:t>Promovim</w:t>
            </w:r>
          </w:p>
        </w:tc>
        <w:tc>
          <w:tcPr>
            <w:tcW w:w="1075" w:type="pct"/>
            <w:vAlign w:val="center"/>
          </w:tcPr>
          <w:p w14:paraId="7BE1DD98" w14:textId="77777777" w:rsidR="00A61297" w:rsidRPr="0033055B" w:rsidRDefault="00A61297" w:rsidP="00A61297">
            <w:pPr>
              <w:autoSpaceDE w:val="0"/>
              <w:autoSpaceDN w:val="0"/>
              <w:adjustRightInd w:val="0"/>
              <w:spacing w:after="0" w:line="240" w:lineRule="auto"/>
              <w:rPr>
                <w:rFonts w:cstheme="minorHAnsi"/>
              </w:rPr>
            </w:pPr>
            <w:r>
              <w:t>Shfrytëzim më i mirë i energjisë nga BRE</w:t>
            </w:r>
          </w:p>
        </w:tc>
        <w:tc>
          <w:tcPr>
            <w:tcW w:w="846" w:type="pct"/>
            <w:vAlign w:val="center"/>
          </w:tcPr>
          <w:p w14:paraId="22FEF899" w14:textId="77777777" w:rsidR="00A61297" w:rsidRPr="0033055B" w:rsidRDefault="00A61297" w:rsidP="00A61297">
            <w:pPr>
              <w:autoSpaceDE w:val="0"/>
              <w:autoSpaceDN w:val="0"/>
              <w:adjustRightInd w:val="0"/>
              <w:spacing w:after="0" w:line="240" w:lineRule="auto"/>
              <w:rPr>
                <w:rFonts w:cstheme="minorHAnsi"/>
              </w:rPr>
            </w:pPr>
            <w:r>
              <w:t>Institucionet publike, konsumatorët, investitorët</w:t>
            </w:r>
          </w:p>
        </w:tc>
        <w:tc>
          <w:tcPr>
            <w:tcW w:w="593" w:type="pct"/>
            <w:vAlign w:val="center"/>
          </w:tcPr>
          <w:p w14:paraId="2A93BA1C" w14:textId="74232F20" w:rsidR="00A61297" w:rsidRPr="0033055B" w:rsidRDefault="00A61297" w:rsidP="00846A0A">
            <w:pPr>
              <w:autoSpaceDE w:val="0"/>
              <w:autoSpaceDN w:val="0"/>
              <w:adjustRightInd w:val="0"/>
              <w:spacing w:after="0" w:line="240" w:lineRule="auto"/>
              <w:jc w:val="center"/>
              <w:rPr>
                <w:rFonts w:cstheme="minorHAnsi"/>
              </w:rPr>
            </w:pPr>
            <w:r>
              <w:t>2007-2009</w:t>
            </w:r>
          </w:p>
        </w:tc>
      </w:tr>
      <w:tr w:rsidR="00A61297" w:rsidRPr="0033055B" w14:paraId="51503714" w14:textId="77777777" w:rsidTr="007563F9">
        <w:trPr>
          <w:trHeight w:val="70"/>
          <w:jc w:val="center"/>
        </w:trPr>
        <w:tc>
          <w:tcPr>
            <w:tcW w:w="355" w:type="pct"/>
            <w:vAlign w:val="center"/>
          </w:tcPr>
          <w:p w14:paraId="387BB71F" w14:textId="77777777" w:rsidR="00A61297" w:rsidRPr="0033055B" w:rsidRDefault="00A61297" w:rsidP="00A61297">
            <w:pPr>
              <w:autoSpaceDE w:val="0"/>
              <w:autoSpaceDN w:val="0"/>
              <w:adjustRightInd w:val="0"/>
              <w:spacing w:after="0" w:line="240" w:lineRule="auto"/>
              <w:jc w:val="both"/>
              <w:rPr>
                <w:rFonts w:cstheme="minorHAnsi"/>
              </w:rPr>
            </w:pPr>
            <w:r>
              <w:t>2</w:t>
            </w:r>
          </w:p>
        </w:tc>
        <w:tc>
          <w:tcPr>
            <w:tcW w:w="1414" w:type="pct"/>
            <w:vAlign w:val="center"/>
          </w:tcPr>
          <w:p w14:paraId="7D2CF3BB" w14:textId="77777777" w:rsidR="00A61297" w:rsidRPr="0033055B" w:rsidRDefault="00A61297" w:rsidP="00A61297">
            <w:pPr>
              <w:autoSpaceDE w:val="0"/>
              <w:autoSpaceDN w:val="0"/>
              <w:adjustRightInd w:val="0"/>
              <w:spacing w:after="0" w:line="240" w:lineRule="auto"/>
              <w:rPr>
                <w:rFonts w:cstheme="minorHAnsi"/>
              </w:rPr>
            </w:pPr>
            <w:r>
              <w:t>Fushatë e vetëdijesimit publik për efiçiencën e energjisë dhe BRE-të</w:t>
            </w:r>
          </w:p>
        </w:tc>
        <w:tc>
          <w:tcPr>
            <w:tcW w:w="717" w:type="pct"/>
            <w:vAlign w:val="center"/>
          </w:tcPr>
          <w:p w14:paraId="408F427F" w14:textId="77777777" w:rsidR="00A61297" w:rsidRPr="0033055B" w:rsidRDefault="00A61297" w:rsidP="00A61297">
            <w:pPr>
              <w:spacing w:after="0" w:line="240" w:lineRule="auto"/>
            </w:pPr>
            <w:r>
              <w:t>Fushatë informuese</w:t>
            </w:r>
          </w:p>
        </w:tc>
        <w:tc>
          <w:tcPr>
            <w:tcW w:w="1075" w:type="pct"/>
            <w:vAlign w:val="center"/>
          </w:tcPr>
          <w:p w14:paraId="52F6DBD3" w14:textId="77777777" w:rsidR="00A61297" w:rsidRPr="0033055B" w:rsidRDefault="00A61297" w:rsidP="00A61297">
            <w:pPr>
              <w:autoSpaceDE w:val="0"/>
              <w:autoSpaceDN w:val="0"/>
              <w:adjustRightInd w:val="0"/>
              <w:spacing w:after="0" w:line="240" w:lineRule="auto"/>
              <w:rPr>
                <w:rFonts w:cstheme="minorHAnsi"/>
              </w:rPr>
            </w:pPr>
            <w:r>
              <w:t>Informimi publik, nxitja e interesimit për përdorim të BRE-ve</w:t>
            </w:r>
          </w:p>
        </w:tc>
        <w:tc>
          <w:tcPr>
            <w:tcW w:w="846" w:type="pct"/>
            <w:vAlign w:val="center"/>
          </w:tcPr>
          <w:p w14:paraId="635C17C0" w14:textId="77777777" w:rsidR="00A61297" w:rsidRPr="0033055B" w:rsidRDefault="00A61297" w:rsidP="00A61297">
            <w:pPr>
              <w:autoSpaceDE w:val="0"/>
              <w:autoSpaceDN w:val="0"/>
              <w:adjustRightInd w:val="0"/>
              <w:spacing w:after="0" w:line="240" w:lineRule="auto"/>
              <w:rPr>
                <w:rFonts w:cstheme="minorHAnsi"/>
              </w:rPr>
            </w:pPr>
            <w:r>
              <w:t>Publiku i gjerë</w:t>
            </w:r>
          </w:p>
        </w:tc>
        <w:tc>
          <w:tcPr>
            <w:tcW w:w="593" w:type="pct"/>
            <w:vAlign w:val="center"/>
          </w:tcPr>
          <w:p w14:paraId="5F080261" w14:textId="560EBD73" w:rsidR="00A61297" w:rsidRPr="0033055B" w:rsidRDefault="0022227D" w:rsidP="00846A0A">
            <w:pPr>
              <w:autoSpaceDE w:val="0"/>
              <w:autoSpaceDN w:val="0"/>
              <w:adjustRightInd w:val="0"/>
              <w:spacing w:after="0" w:line="240" w:lineRule="auto"/>
              <w:jc w:val="center"/>
              <w:rPr>
                <w:rFonts w:cstheme="minorHAnsi"/>
              </w:rPr>
            </w:pPr>
            <w:r>
              <w:t>Çdo vit, që prej 2009-tës</w:t>
            </w:r>
          </w:p>
        </w:tc>
      </w:tr>
      <w:tr w:rsidR="00A61297" w:rsidRPr="0033055B" w14:paraId="3ABB205D" w14:textId="77777777" w:rsidTr="007563F9">
        <w:trPr>
          <w:trHeight w:val="70"/>
          <w:jc w:val="center"/>
        </w:trPr>
        <w:tc>
          <w:tcPr>
            <w:tcW w:w="355" w:type="pct"/>
            <w:vAlign w:val="center"/>
          </w:tcPr>
          <w:p w14:paraId="0D5DCD11" w14:textId="77777777" w:rsidR="00A61297" w:rsidRPr="0033055B" w:rsidRDefault="00A61297" w:rsidP="00A61297">
            <w:pPr>
              <w:autoSpaceDE w:val="0"/>
              <w:autoSpaceDN w:val="0"/>
              <w:adjustRightInd w:val="0"/>
              <w:spacing w:after="0" w:line="240" w:lineRule="auto"/>
              <w:jc w:val="both"/>
              <w:rPr>
                <w:rFonts w:cstheme="minorHAnsi"/>
              </w:rPr>
            </w:pPr>
            <w:r>
              <w:t>3</w:t>
            </w:r>
          </w:p>
        </w:tc>
        <w:tc>
          <w:tcPr>
            <w:tcW w:w="1414" w:type="pct"/>
            <w:vAlign w:val="center"/>
          </w:tcPr>
          <w:p w14:paraId="6290ADA3" w14:textId="77777777" w:rsidR="00A61297" w:rsidRPr="0033055B" w:rsidRDefault="00A61297" w:rsidP="00A61297">
            <w:pPr>
              <w:rPr>
                <w:rFonts w:cstheme="minorHAnsi"/>
              </w:rPr>
            </w:pPr>
            <w:r>
              <w:t>Fushatë e promovimit të BRE-ve</w:t>
            </w:r>
          </w:p>
        </w:tc>
        <w:tc>
          <w:tcPr>
            <w:tcW w:w="717" w:type="pct"/>
            <w:vAlign w:val="center"/>
          </w:tcPr>
          <w:p w14:paraId="63622359" w14:textId="77777777" w:rsidR="00A61297" w:rsidRPr="0033055B" w:rsidRDefault="00A61297" w:rsidP="00A61297">
            <w:pPr>
              <w:rPr>
                <w:rFonts w:cstheme="minorHAnsi"/>
              </w:rPr>
            </w:pPr>
            <w:r>
              <w:t xml:space="preserve">Masë e butë </w:t>
            </w:r>
          </w:p>
        </w:tc>
        <w:tc>
          <w:tcPr>
            <w:tcW w:w="1075" w:type="pct"/>
            <w:vAlign w:val="center"/>
          </w:tcPr>
          <w:p w14:paraId="46F30511" w14:textId="77777777" w:rsidR="00A61297" w:rsidRPr="0033055B" w:rsidRDefault="00A61297" w:rsidP="00A61297">
            <w:pPr>
              <w:rPr>
                <w:rFonts w:cstheme="minorHAnsi"/>
              </w:rPr>
            </w:pPr>
            <w:r>
              <w:t>Nxitja e interesimit të publikut për shfrytëzimin e BRE-ve</w:t>
            </w:r>
          </w:p>
        </w:tc>
        <w:tc>
          <w:tcPr>
            <w:tcW w:w="846" w:type="pct"/>
            <w:vAlign w:val="center"/>
          </w:tcPr>
          <w:p w14:paraId="7416410D" w14:textId="77777777" w:rsidR="00A61297" w:rsidRPr="0033055B" w:rsidRDefault="00A61297" w:rsidP="00A61297">
            <w:pPr>
              <w:rPr>
                <w:rFonts w:cstheme="minorHAnsi"/>
              </w:rPr>
            </w:pPr>
            <w:r>
              <w:t xml:space="preserve">Konsumatorë, gjenerues, publiku </w:t>
            </w:r>
          </w:p>
        </w:tc>
        <w:tc>
          <w:tcPr>
            <w:tcW w:w="593" w:type="pct"/>
            <w:vAlign w:val="center"/>
          </w:tcPr>
          <w:p w14:paraId="14CA94CC" w14:textId="264357BD" w:rsidR="00A61297" w:rsidRPr="0033055B" w:rsidRDefault="00A61297" w:rsidP="00846A0A">
            <w:pPr>
              <w:jc w:val="center"/>
              <w:rPr>
                <w:rFonts w:cstheme="minorHAnsi"/>
              </w:rPr>
            </w:pPr>
            <w:r>
              <w:t>2012</w:t>
            </w:r>
          </w:p>
        </w:tc>
      </w:tr>
      <w:tr w:rsidR="00A61297" w:rsidRPr="0033055B" w14:paraId="45210339" w14:textId="77777777" w:rsidTr="007563F9">
        <w:trPr>
          <w:trHeight w:val="70"/>
          <w:jc w:val="center"/>
        </w:trPr>
        <w:tc>
          <w:tcPr>
            <w:tcW w:w="355" w:type="pct"/>
            <w:vAlign w:val="center"/>
          </w:tcPr>
          <w:p w14:paraId="37D569DA" w14:textId="77777777" w:rsidR="00A61297" w:rsidRPr="0033055B" w:rsidRDefault="00A61297" w:rsidP="00A61297">
            <w:pPr>
              <w:autoSpaceDE w:val="0"/>
              <w:autoSpaceDN w:val="0"/>
              <w:adjustRightInd w:val="0"/>
              <w:spacing w:after="0" w:line="240" w:lineRule="auto"/>
              <w:jc w:val="both"/>
              <w:rPr>
                <w:rFonts w:cstheme="minorHAnsi"/>
              </w:rPr>
            </w:pPr>
            <w:r>
              <w:t>4</w:t>
            </w:r>
          </w:p>
        </w:tc>
        <w:tc>
          <w:tcPr>
            <w:tcW w:w="1414" w:type="pct"/>
            <w:vAlign w:val="center"/>
          </w:tcPr>
          <w:p w14:paraId="114A9069" w14:textId="77777777" w:rsidR="00A61297" w:rsidRPr="0033055B" w:rsidRDefault="00A61297" w:rsidP="00A61297">
            <w:pPr>
              <w:pStyle w:val="Text1"/>
              <w:spacing w:before="0" w:after="0"/>
              <w:ind w:left="0"/>
              <w:jc w:val="left"/>
              <w:rPr>
                <w:rFonts w:asciiTheme="minorHAnsi" w:eastAsiaTheme="minorHAnsi" w:hAnsiTheme="minorHAnsi" w:cstheme="minorHAnsi"/>
                <w:sz w:val="22"/>
                <w:szCs w:val="22"/>
              </w:rPr>
            </w:pPr>
            <w:r>
              <w:rPr>
                <w:rFonts w:asciiTheme="minorHAnsi" w:hAnsiTheme="minorHAnsi"/>
                <w:sz w:val="22"/>
                <w:szCs w:val="22"/>
              </w:rPr>
              <w:t>Linja Kreditore KOSEP</w:t>
            </w:r>
          </w:p>
        </w:tc>
        <w:tc>
          <w:tcPr>
            <w:tcW w:w="717" w:type="pct"/>
            <w:vAlign w:val="center"/>
          </w:tcPr>
          <w:p w14:paraId="7492D92B" w14:textId="77777777" w:rsidR="00A61297" w:rsidRPr="0033055B" w:rsidRDefault="00A61297" w:rsidP="00A61297">
            <w:pPr>
              <w:pStyle w:val="Text1"/>
              <w:spacing w:before="0" w:after="0"/>
              <w:ind w:left="0"/>
              <w:jc w:val="left"/>
              <w:rPr>
                <w:rFonts w:asciiTheme="minorHAnsi" w:eastAsiaTheme="minorHAnsi" w:hAnsiTheme="minorHAnsi" w:cstheme="minorHAnsi"/>
                <w:sz w:val="22"/>
                <w:szCs w:val="22"/>
              </w:rPr>
            </w:pPr>
            <w:r>
              <w:rPr>
                <w:rFonts w:asciiTheme="minorHAnsi" w:hAnsiTheme="minorHAnsi"/>
                <w:sz w:val="22"/>
                <w:szCs w:val="22"/>
              </w:rPr>
              <w:t>Përkrahje financiare</w:t>
            </w:r>
          </w:p>
        </w:tc>
        <w:tc>
          <w:tcPr>
            <w:tcW w:w="1075" w:type="pct"/>
            <w:vAlign w:val="center"/>
          </w:tcPr>
          <w:p w14:paraId="40A23C55" w14:textId="77777777" w:rsidR="00A61297" w:rsidRPr="0033055B" w:rsidRDefault="00A61297" w:rsidP="00A61297">
            <w:pPr>
              <w:pStyle w:val="Text1"/>
              <w:spacing w:before="0" w:after="0"/>
              <w:ind w:left="0"/>
              <w:jc w:val="left"/>
              <w:rPr>
                <w:rFonts w:asciiTheme="minorHAnsi" w:eastAsiaTheme="minorHAnsi" w:hAnsiTheme="minorHAnsi" w:cstheme="minorHAnsi"/>
                <w:sz w:val="22"/>
                <w:szCs w:val="22"/>
              </w:rPr>
            </w:pPr>
            <w:r>
              <w:rPr>
                <w:rFonts w:asciiTheme="minorHAnsi" w:hAnsiTheme="minorHAnsi"/>
                <w:sz w:val="22"/>
                <w:szCs w:val="22"/>
              </w:rPr>
              <w:t xml:space="preserve">Rritja e kapaciteteve të BRE-ve tek konsumatorët privatë, NVM-të </w:t>
            </w:r>
          </w:p>
        </w:tc>
        <w:tc>
          <w:tcPr>
            <w:tcW w:w="846" w:type="pct"/>
            <w:vAlign w:val="center"/>
          </w:tcPr>
          <w:p w14:paraId="2AF17082" w14:textId="77777777" w:rsidR="00A61297" w:rsidRPr="0033055B" w:rsidRDefault="00A61297" w:rsidP="00A61297">
            <w:pPr>
              <w:pStyle w:val="Text1"/>
              <w:spacing w:before="0" w:after="0"/>
              <w:ind w:left="0"/>
              <w:jc w:val="left"/>
              <w:rPr>
                <w:rFonts w:asciiTheme="minorHAnsi" w:eastAsiaTheme="minorHAnsi" w:hAnsiTheme="minorHAnsi" w:cstheme="minorHAnsi"/>
                <w:sz w:val="22"/>
                <w:szCs w:val="22"/>
              </w:rPr>
            </w:pPr>
            <w:r>
              <w:rPr>
                <w:rFonts w:asciiTheme="minorHAnsi" w:hAnsiTheme="minorHAnsi"/>
                <w:sz w:val="22"/>
                <w:szCs w:val="22"/>
              </w:rPr>
              <w:t xml:space="preserve">NVM-të, amvisëritë </w:t>
            </w:r>
          </w:p>
        </w:tc>
        <w:tc>
          <w:tcPr>
            <w:tcW w:w="593" w:type="pct"/>
            <w:vAlign w:val="center"/>
          </w:tcPr>
          <w:p w14:paraId="0B75E6B9" w14:textId="007A86C9" w:rsidR="00A61297" w:rsidRPr="0033055B" w:rsidRDefault="00A61297" w:rsidP="00846A0A">
            <w:pPr>
              <w:pStyle w:val="Text1"/>
              <w:spacing w:before="0" w:after="0"/>
              <w:ind w:left="0"/>
              <w:jc w:val="center"/>
              <w:rPr>
                <w:rFonts w:asciiTheme="minorHAnsi" w:eastAsiaTheme="minorHAnsi" w:hAnsiTheme="minorHAnsi" w:cstheme="minorHAnsi"/>
                <w:sz w:val="22"/>
                <w:szCs w:val="22"/>
              </w:rPr>
            </w:pPr>
            <w:r>
              <w:rPr>
                <w:rFonts w:asciiTheme="minorHAnsi" w:hAnsiTheme="minorHAnsi"/>
                <w:sz w:val="22"/>
                <w:szCs w:val="22"/>
              </w:rPr>
              <w:t>2013-2017</w:t>
            </w:r>
          </w:p>
        </w:tc>
      </w:tr>
    </w:tbl>
    <w:p w14:paraId="1E858E81" w14:textId="77777777" w:rsidR="00FF3D41" w:rsidRPr="0033055B" w:rsidRDefault="00FF3D41" w:rsidP="005E4A0E">
      <w:pPr>
        <w:spacing w:before="120" w:after="120" w:line="240" w:lineRule="auto"/>
        <w:jc w:val="both"/>
        <w:rPr>
          <w:rFonts w:cstheme="minorHAnsi"/>
          <w:lang w:val="en-GB"/>
        </w:rPr>
      </w:pPr>
    </w:p>
    <w:p w14:paraId="04B8BAD1" w14:textId="77777777" w:rsidR="00A83AC7" w:rsidRDefault="00A83AC7">
      <w:pPr>
        <w:rPr>
          <w:rFonts w:ascii="Calibri" w:eastAsia="Calibri" w:hAnsi="Calibri"/>
          <w:b/>
          <w:iCs/>
        </w:rPr>
      </w:pPr>
      <w:r>
        <w:br w:type="page"/>
      </w:r>
    </w:p>
    <w:p w14:paraId="3DE39022" w14:textId="7FA2863B" w:rsidR="00202715" w:rsidRPr="0033055B" w:rsidRDefault="00202715" w:rsidP="00202715">
      <w:pPr>
        <w:spacing w:before="120" w:after="120" w:line="240" w:lineRule="auto"/>
        <w:jc w:val="center"/>
        <w:rPr>
          <w:rFonts w:cstheme="minorHAnsi"/>
          <w:b/>
        </w:rPr>
      </w:pPr>
      <w:bookmarkStart w:id="26" w:name="_Toc518377702"/>
      <w:r>
        <w:rPr>
          <w:rFonts w:ascii="Calibri" w:hAnsi="Calibri"/>
          <w:b/>
          <w:iCs/>
        </w:rPr>
        <w:t xml:space="preserve">Tabela </w:t>
      </w:r>
      <w:r w:rsidR="00724C64" w:rsidRPr="0033055B">
        <w:rPr>
          <w:rFonts w:ascii="Calibri" w:eastAsia="Calibri" w:hAnsi="Calibri"/>
          <w:b/>
          <w:iCs/>
        </w:rPr>
        <w:fldChar w:fldCharType="begin"/>
      </w:r>
      <w:r w:rsidRPr="0033055B">
        <w:rPr>
          <w:rFonts w:ascii="Calibri" w:eastAsia="Calibri" w:hAnsi="Calibri"/>
          <w:b/>
          <w:iCs/>
        </w:rPr>
        <w:instrText xml:space="preserve"> SEQ Table \* ARABIC </w:instrText>
      </w:r>
      <w:r w:rsidR="00724C64" w:rsidRPr="0033055B">
        <w:rPr>
          <w:rFonts w:ascii="Calibri" w:eastAsia="Calibri" w:hAnsi="Calibri"/>
          <w:b/>
          <w:iCs/>
        </w:rPr>
        <w:fldChar w:fldCharType="separate"/>
      </w:r>
      <w:r w:rsidR="00DC4741">
        <w:rPr>
          <w:rFonts w:ascii="Calibri" w:eastAsia="Calibri" w:hAnsi="Calibri"/>
          <w:b/>
          <w:iCs/>
          <w:noProof/>
        </w:rPr>
        <w:t>10</w:t>
      </w:r>
      <w:r w:rsidR="00724C64" w:rsidRPr="0033055B">
        <w:rPr>
          <w:rFonts w:ascii="Calibri" w:eastAsia="Calibri" w:hAnsi="Calibri"/>
          <w:b/>
          <w:iCs/>
        </w:rPr>
        <w:fldChar w:fldCharType="end"/>
      </w:r>
      <w:r>
        <w:rPr>
          <w:b/>
        </w:rPr>
        <w:t>: Pasqyra e politikave dhe masave ekzistuese.</w:t>
      </w:r>
      <w:bookmarkEnd w:id="2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
        <w:gridCol w:w="2817"/>
        <w:gridCol w:w="1448"/>
        <w:gridCol w:w="2133"/>
        <w:gridCol w:w="1425"/>
        <w:gridCol w:w="1311"/>
      </w:tblGrid>
      <w:tr w:rsidR="00DF33F8" w:rsidRPr="0033055B" w14:paraId="30D11B93" w14:textId="77777777" w:rsidTr="00A62216">
        <w:trPr>
          <w:trHeight w:val="458"/>
          <w:tblHeader/>
          <w:jc w:val="center"/>
        </w:trPr>
        <w:tc>
          <w:tcPr>
            <w:tcW w:w="245" w:type="pct"/>
            <w:shd w:val="clear" w:color="auto" w:fill="E6E6E6"/>
            <w:vAlign w:val="center"/>
          </w:tcPr>
          <w:p w14:paraId="5E1D48A2" w14:textId="77777777" w:rsidR="0056008A" w:rsidRPr="0033055B" w:rsidRDefault="0056008A" w:rsidP="00CD084F">
            <w:pPr>
              <w:autoSpaceDE w:val="0"/>
              <w:autoSpaceDN w:val="0"/>
              <w:adjustRightInd w:val="0"/>
              <w:spacing w:after="0" w:line="240" w:lineRule="auto"/>
              <w:jc w:val="both"/>
              <w:rPr>
                <w:rFonts w:cstheme="minorHAnsi"/>
                <w:b/>
                <w:lang w:val="en-GB"/>
              </w:rPr>
            </w:pPr>
          </w:p>
        </w:tc>
        <w:tc>
          <w:tcPr>
            <w:tcW w:w="1485" w:type="pct"/>
            <w:shd w:val="clear" w:color="auto" w:fill="E6E6E6"/>
            <w:vAlign w:val="center"/>
          </w:tcPr>
          <w:p w14:paraId="2478585A" w14:textId="77777777" w:rsidR="0056008A" w:rsidRPr="0033055B" w:rsidRDefault="0056008A" w:rsidP="00CD084F">
            <w:pPr>
              <w:autoSpaceDE w:val="0"/>
              <w:autoSpaceDN w:val="0"/>
              <w:adjustRightInd w:val="0"/>
              <w:spacing w:after="0" w:line="240" w:lineRule="auto"/>
              <w:jc w:val="both"/>
              <w:rPr>
                <w:rFonts w:cstheme="minorHAnsi"/>
                <w:b/>
              </w:rPr>
            </w:pPr>
            <w:r>
              <w:rPr>
                <w:b/>
              </w:rPr>
              <w:t>Emri dhe referenca e masës</w:t>
            </w:r>
          </w:p>
          <w:p w14:paraId="37E244F2" w14:textId="77777777" w:rsidR="0056008A" w:rsidRPr="0033055B" w:rsidRDefault="0056008A" w:rsidP="00CD084F">
            <w:pPr>
              <w:autoSpaceDE w:val="0"/>
              <w:autoSpaceDN w:val="0"/>
              <w:adjustRightInd w:val="0"/>
              <w:spacing w:after="0" w:line="240" w:lineRule="auto"/>
              <w:jc w:val="both"/>
              <w:rPr>
                <w:rFonts w:cstheme="minorHAnsi"/>
                <w:b/>
                <w:lang w:val="en-GB"/>
              </w:rPr>
            </w:pPr>
          </w:p>
        </w:tc>
        <w:tc>
          <w:tcPr>
            <w:tcW w:w="770" w:type="pct"/>
            <w:shd w:val="clear" w:color="auto" w:fill="E6E6E6"/>
            <w:vAlign w:val="center"/>
          </w:tcPr>
          <w:p w14:paraId="7E7BBFFE" w14:textId="77777777" w:rsidR="0056008A" w:rsidRPr="0033055B" w:rsidRDefault="0056008A" w:rsidP="00B973C7">
            <w:pPr>
              <w:autoSpaceDE w:val="0"/>
              <w:autoSpaceDN w:val="0"/>
              <w:adjustRightInd w:val="0"/>
              <w:spacing w:after="0" w:line="240" w:lineRule="auto"/>
              <w:rPr>
                <w:rFonts w:cstheme="minorHAnsi"/>
                <w:b/>
              </w:rPr>
            </w:pPr>
            <w:r>
              <w:rPr>
                <w:b/>
              </w:rPr>
              <w:t xml:space="preserve">Lloji i masës </w:t>
            </w:r>
          </w:p>
        </w:tc>
        <w:tc>
          <w:tcPr>
            <w:tcW w:w="1128" w:type="pct"/>
            <w:shd w:val="clear" w:color="auto" w:fill="E6E6E6"/>
            <w:vAlign w:val="center"/>
          </w:tcPr>
          <w:p w14:paraId="6C81696F" w14:textId="77777777" w:rsidR="0056008A" w:rsidRPr="0033055B" w:rsidRDefault="0056008A" w:rsidP="00CD084F">
            <w:pPr>
              <w:autoSpaceDE w:val="0"/>
              <w:autoSpaceDN w:val="0"/>
              <w:adjustRightInd w:val="0"/>
              <w:spacing w:after="0" w:line="240" w:lineRule="auto"/>
              <w:jc w:val="both"/>
              <w:rPr>
                <w:rFonts w:cstheme="minorHAnsi"/>
                <w:b/>
              </w:rPr>
            </w:pPr>
            <w:r>
              <w:rPr>
                <w:b/>
              </w:rPr>
              <w:t xml:space="preserve">Rezultati i pritur </w:t>
            </w:r>
          </w:p>
        </w:tc>
        <w:tc>
          <w:tcPr>
            <w:tcW w:w="745" w:type="pct"/>
            <w:shd w:val="clear" w:color="auto" w:fill="E6E6E6"/>
            <w:vAlign w:val="center"/>
          </w:tcPr>
          <w:p w14:paraId="3BB6B266" w14:textId="77777777" w:rsidR="0056008A" w:rsidRPr="0033055B" w:rsidRDefault="0056008A" w:rsidP="00B973C7">
            <w:pPr>
              <w:autoSpaceDE w:val="0"/>
              <w:autoSpaceDN w:val="0"/>
              <w:adjustRightInd w:val="0"/>
              <w:spacing w:after="0" w:line="240" w:lineRule="auto"/>
              <w:rPr>
                <w:rFonts w:cstheme="minorHAnsi"/>
                <w:b/>
              </w:rPr>
            </w:pPr>
            <w:r>
              <w:rPr>
                <w:b/>
              </w:rPr>
              <w:t xml:space="preserve">Grupi apo aktiviteti i synuar </w:t>
            </w:r>
          </w:p>
        </w:tc>
        <w:tc>
          <w:tcPr>
            <w:tcW w:w="627" w:type="pct"/>
            <w:shd w:val="clear" w:color="auto" w:fill="E6E6E6"/>
            <w:vAlign w:val="center"/>
          </w:tcPr>
          <w:p w14:paraId="6AE6BC42" w14:textId="77777777" w:rsidR="0056008A" w:rsidRPr="0033055B" w:rsidRDefault="0056008A" w:rsidP="00B973C7">
            <w:pPr>
              <w:autoSpaceDE w:val="0"/>
              <w:autoSpaceDN w:val="0"/>
              <w:adjustRightInd w:val="0"/>
              <w:spacing w:after="0" w:line="240" w:lineRule="auto"/>
              <w:rPr>
                <w:rFonts w:cstheme="minorHAnsi"/>
                <w:b/>
              </w:rPr>
            </w:pPr>
            <w:r>
              <w:rPr>
                <w:b/>
              </w:rPr>
              <w:t>Datat e fillimit dhe përfundimit të masës</w:t>
            </w:r>
          </w:p>
        </w:tc>
      </w:tr>
      <w:tr w:rsidR="0056008A" w:rsidRPr="0033055B" w14:paraId="7D53970E" w14:textId="77777777" w:rsidTr="00A62216">
        <w:trPr>
          <w:trHeight w:val="70"/>
          <w:jc w:val="center"/>
        </w:trPr>
        <w:tc>
          <w:tcPr>
            <w:tcW w:w="5000" w:type="pct"/>
            <w:gridSpan w:val="6"/>
            <w:vAlign w:val="center"/>
          </w:tcPr>
          <w:p w14:paraId="611BA9F2" w14:textId="77777777" w:rsidR="0056008A" w:rsidRPr="0033055B" w:rsidRDefault="00EB1E33" w:rsidP="00CD084F">
            <w:pPr>
              <w:autoSpaceDE w:val="0"/>
              <w:autoSpaceDN w:val="0"/>
              <w:adjustRightInd w:val="0"/>
              <w:spacing w:after="0" w:line="240" w:lineRule="auto"/>
              <w:jc w:val="both"/>
              <w:rPr>
                <w:rFonts w:cstheme="minorHAnsi"/>
                <w:b/>
              </w:rPr>
            </w:pPr>
            <w:r>
              <w:rPr>
                <w:b/>
              </w:rPr>
              <w:t>Energjia elektrike</w:t>
            </w:r>
          </w:p>
        </w:tc>
      </w:tr>
      <w:tr w:rsidR="00540F67" w:rsidRPr="0033055B" w14:paraId="6EA1C74E" w14:textId="77777777" w:rsidTr="00A62216">
        <w:trPr>
          <w:trHeight w:val="287"/>
          <w:jc w:val="center"/>
        </w:trPr>
        <w:tc>
          <w:tcPr>
            <w:tcW w:w="245" w:type="pct"/>
            <w:vAlign w:val="center"/>
          </w:tcPr>
          <w:p w14:paraId="0AD6F4BE" w14:textId="77777777" w:rsidR="00F91250" w:rsidRPr="0033055B" w:rsidRDefault="00F91250" w:rsidP="00F91250">
            <w:pPr>
              <w:autoSpaceDE w:val="0"/>
              <w:autoSpaceDN w:val="0"/>
              <w:adjustRightInd w:val="0"/>
              <w:spacing w:after="0" w:line="240" w:lineRule="auto"/>
              <w:jc w:val="both"/>
              <w:rPr>
                <w:rFonts w:cstheme="minorHAnsi"/>
              </w:rPr>
            </w:pPr>
            <w:r>
              <w:t>1</w:t>
            </w:r>
          </w:p>
        </w:tc>
        <w:tc>
          <w:tcPr>
            <w:tcW w:w="1485" w:type="pct"/>
            <w:vAlign w:val="center"/>
          </w:tcPr>
          <w:p w14:paraId="7377CBDA" w14:textId="77777777" w:rsidR="00F91250" w:rsidRPr="0033055B" w:rsidRDefault="00F91250" w:rsidP="00F91250">
            <w:pPr>
              <w:spacing w:after="0"/>
              <w:rPr>
                <w:rFonts w:cstheme="minorHAnsi"/>
              </w:rPr>
            </w:pPr>
            <w:r>
              <w:t>Skema mbështetëse për energjinë elektrike të prodhuar nga sistemet e vogla diellore</w:t>
            </w:r>
          </w:p>
        </w:tc>
        <w:tc>
          <w:tcPr>
            <w:tcW w:w="770" w:type="pct"/>
            <w:vAlign w:val="center"/>
          </w:tcPr>
          <w:p w14:paraId="55D45830" w14:textId="77777777" w:rsidR="00F91250" w:rsidRPr="0033055B" w:rsidRDefault="00F91250" w:rsidP="00F91250">
            <w:pPr>
              <w:spacing w:after="0"/>
              <w:jc w:val="center"/>
              <w:rPr>
                <w:rFonts w:cstheme="minorHAnsi"/>
              </w:rPr>
            </w:pPr>
            <w:r>
              <w:t>Rregullatore - financiare</w:t>
            </w:r>
          </w:p>
        </w:tc>
        <w:tc>
          <w:tcPr>
            <w:tcW w:w="1128" w:type="pct"/>
            <w:vAlign w:val="center"/>
          </w:tcPr>
          <w:p w14:paraId="4E481C27" w14:textId="2485B115" w:rsidR="00F91250" w:rsidRPr="0033055B" w:rsidRDefault="00ED480C" w:rsidP="00F91250">
            <w:pPr>
              <w:autoSpaceDE w:val="0"/>
              <w:autoSpaceDN w:val="0"/>
              <w:adjustRightInd w:val="0"/>
              <w:spacing w:after="0" w:line="240" w:lineRule="auto"/>
              <w:rPr>
                <w:rFonts w:cstheme="minorHAnsi"/>
              </w:rPr>
            </w:pPr>
            <w:r>
              <w:t xml:space="preserve">Rritja e pjesëmarrjes </w:t>
            </w:r>
            <w:r w:rsidR="00F91250">
              <w:t xml:space="preserve"> të BRE-ve</w:t>
            </w:r>
          </w:p>
        </w:tc>
        <w:tc>
          <w:tcPr>
            <w:tcW w:w="745" w:type="pct"/>
            <w:vAlign w:val="center"/>
          </w:tcPr>
          <w:p w14:paraId="3F6CE187" w14:textId="77777777" w:rsidR="00F91250" w:rsidRPr="0033055B" w:rsidRDefault="00F91250" w:rsidP="00F91250">
            <w:pPr>
              <w:autoSpaceDE w:val="0"/>
              <w:autoSpaceDN w:val="0"/>
              <w:adjustRightInd w:val="0"/>
              <w:spacing w:after="0" w:line="240" w:lineRule="auto"/>
              <w:rPr>
                <w:rFonts w:cstheme="minorHAnsi"/>
              </w:rPr>
            </w:pPr>
            <w:r>
              <w:t>Investitorë, instalues</w:t>
            </w:r>
          </w:p>
        </w:tc>
        <w:tc>
          <w:tcPr>
            <w:tcW w:w="627" w:type="pct"/>
            <w:vAlign w:val="center"/>
          </w:tcPr>
          <w:p w14:paraId="4F14DE52" w14:textId="79ADC7BA" w:rsidR="00F91250" w:rsidRPr="0033055B" w:rsidRDefault="00F2134C" w:rsidP="00F91250">
            <w:pPr>
              <w:spacing w:after="0"/>
              <w:jc w:val="center"/>
              <w:rPr>
                <w:rFonts w:cstheme="minorHAnsi"/>
              </w:rPr>
            </w:pPr>
            <w:r>
              <w:t>2017-</w:t>
            </w:r>
          </w:p>
        </w:tc>
      </w:tr>
      <w:tr w:rsidR="004252CD" w:rsidRPr="0033055B" w14:paraId="4C4BF27A" w14:textId="77777777" w:rsidTr="00A62216">
        <w:trPr>
          <w:trHeight w:val="287"/>
          <w:jc w:val="center"/>
        </w:trPr>
        <w:tc>
          <w:tcPr>
            <w:tcW w:w="245" w:type="pct"/>
            <w:vAlign w:val="center"/>
          </w:tcPr>
          <w:p w14:paraId="07686C72" w14:textId="1849F24D" w:rsidR="004252CD" w:rsidRPr="0033055B" w:rsidRDefault="004252CD" w:rsidP="00F91250">
            <w:pPr>
              <w:autoSpaceDE w:val="0"/>
              <w:autoSpaceDN w:val="0"/>
              <w:adjustRightInd w:val="0"/>
              <w:spacing w:after="0" w:line="240" w:lineRule="auto"/>
              <w:jc w:val="both"/>
              <w:rPr>
                <w:rFonts w:cstheme="minorHAnsi"/>
              </w:rPr>
            </w:pPr>
            <w:r>
              <w:t>2</w:t>
            </w:r>
          </w:p>
        </w:tc>
        <w:tc>
          <w:tcPr>
            <w:tcW w:w="1485" w:type="pct"/>
            <w:vAlign w:val="center"/>
          </w:tcPr>
          <w:p w14:paraId="4C14F48E" w14:textId="185A706F" w:rsidR="004252CD" w:rsidRPr="0033055B" w:rsidRDefault="004252CD" w:rsidP="00F91250">
            <w:pPr>
              <w:spacing w:after="0"/>
              <w:rPr>
                <w:rFonts w:cstheme="minorHAnsi"/>
              </w:rPr>
            </w:pPr>
            <w:r>
              <w:t xml:space="preserve">Përgatitja e rregullave për ankandet për BRE-E (vazhdimësi e skemës së tarifës hyrëse) </w:t>
            </w:r>
          </w:p>
        </w:tc>
        <w:tc>
          <w:tcPr>
            <w:tcW w:w="770" w:type="pct"/>
            <w:vAlign w:val="center"/>
          </w:tcPr>
          <w:p w14:paraId="5AF6CCB1" w14:textId="1AD412B9" w:rsidR="004252CD" w:rsidRPr="0033055B" w:rsidRDefault="004252CD" w:rsidP="00F91250">
            <w:pPr>
              <w:spacing w:after="0"/>
              <w:jc w:val="center"/>
              <w:rPr>
                <w:rFonts w:cstheme="minorHAnsi"/>
              </w:rPr>
            </w:pPr>
            <w:r>
              <w:t>Rregullatore</w:t>
            </w:r>
          </w:p>
        </w:tc>
        <w:tc>
          <w:tcPr>
            <w:tcW w:w="1128" w:type="pct"/>
            <w:vAlign w:val="center"/>
          </w:tcPr>
          <w:p w14:paraId="49178BBA" w14:textId="2BBDB4E3" w:rsidR="004252CD" w:rsidRPr="0033055B" w:rsidRDefault="004252CD" w:rsidP="00F91250">
            <w:pPr>
              <w:autoSpaceDE w:val="0"/>
              <w:autoSpaceDN w:val="0"/>
              <w:adjustRightInd w:val="0"/>
              <w:spacing w:after="0" w:line="240" w:lineRule="auto"/>
              <w:rPr>
                <w:rFonts w:cstheme="minorHAnsi"/>
              </w:rPr>
            </w:pPr>
            <w:r>
              <w:t>ndryshimi i legjislacionit dhe miratimi i Rregullave;</w:t>
            </w:r>
          </w:p>
        </w:tc>
        <w:tc>
          <w:tcPr>
            <w:tcW w:w="745" w:type="pct"/>
            <w:vAlign w:val="center"/>
          </w:tcPr>
          <w:p w14:paraId="275827DA" w14:textId="122EE4B0" w:rsidR="004252CD" w:rsidRPr="0033055B" w:rsidRDefault="004252CD" w:rsidP="00F91250">
            <w:pPr>
              <w:autoSpaceDE w:val="0"/>
              <w:autoSpaceDN w:val="0"/>
              <w:adjustRightInd w:val="0"/>
              <w:spacing w:after="0" w:line="240" w:lineRule="auto"/>
              <w:rPr>
                <w:rFonts w:cstheme="minorHAnsi"/>
              </w:rPr>
            </w:pPr>
            <w:r>
              <w:t xml:space="preserve">Investitorë </w:t>
            </w:r>
          </w:p>
        </w:tc>
        <w:tc>
          <w:tcPr>
            <w:tcW w:w="627" w:type="pct"/>
            <w:vAlign w:val="center"/>
          </w:tcPr>
          <w:p w14:paraId="7BFDA265" w14:textId="3404B2D6" w:rsidR="004252CD" w:rsidRPr="0033055B" w:rsidRDefault="004252CD" w:rsidP="00F91250">
            <w:pPr>
              <w:spacing w:after="0"/>
              <w:jc w:val="center"/>
              <w:rPr>
                <w:rFonts w:cstheme="minorHAnsi"/>
              </w:rPr>
            </w:pPr>
            <w:r>
              <w:t>2019-</w:t>
            </w:r>
          </w:p>
        </w:tc>
      </w:tr>
      <w:tr w:rsidR="0056008A" w:rsidRPr="0033055B" w14:paraId="5E4FE6BF" w14:textId="77777777" w:rsidTr="00A62216">
        <w:trPr>
          <w:trHeight w:val="70"/>
          <w:jc w:val="center"/>
        </w:trPr>
        <w:tc>
          <w:tcPr>
            <w:tcW w:w="5000" w:type="pct"/>
            <w:gridSpan w:val="6"/>
            <w:vAlign w:val="center"/>
          </w:tcPr>
          <w:p w14:paraId="4F67DB2B" w14:textId="77777777" w:rsidR="0056008A" w:rsidRPr="0033055B" w:rsidRDefault="0056008A" w:rsidP="00CD084F">
            <w:pPr>
              <w:autoSpaceDE w:val="0"/>
              <w:autoSpaceDN w:val="0"/>
              <w:adjustRightInd w:val="0"/>
              <w:spacing w:after="0" w:line="240" w:lineRule="auto"/>
              <w:rPr>
                <w:rFonts w:cstheme="minorHAnsi"/>
              </w:rPr>
            </w:pPr>
            <w:r>
              <w:rPr>
                <w:b/>
              </w:rPr>
              <w:t>Ngrohja dhe ftohja</w:t>
            </w:r>
          </w:p>
        </w:tc>
      </w:tr>
      <w:tr w:rsidR="00CD084F" w:rsidRPr="0033055B" w14:paraId="71F24A79" w14:textId="77777777" w:rsidTr="00A62216">
        <w:trPr>
          <w:trHeight w:val="70"/>
          <w:jc w:val="center"/>
        </w:trPr>
        <w:tc>
          <w:tcPr>
            <w:tcW w:w="245" w:type="pct"/>
            <w:vAlign w:val="center"/>
          </w:tcPr>
          <w:p w14:paraId="3A541D55" w14:textId="77777777" w:rsidR="00CD084F" w:rsidRPr="0033055B" w:rsidRDefault="00CD084F" w:rsidP="00CD084F">
            <w:pPr>
              <w:autoSpaceDE w:val="0"/>
              <w:autoSpaceDN w:val="0"/>
              <w:adjustRightInd w:val="0"/>
              <w:spacing w:after="0" w:line="240" w:lineRule="auto"/>
              <w:jc w:val="both"/>
              <w:rPr>
                <w:rFonts w:cstheme="minorHAnsi"/>
              </w:rPr>
            </w:pPr>
            <w:r>
              <w:t>1</w:t>
            </w:r>
          </w:p>
        </w:tc>
        <w:tc>
          <w:tcPr>
            <w:tcW w:w="1485" w:type="pct"/>
            <w:vAlign w:val="center"/>
          </w:tcPr>
          <w:p w14:paraId="47F60797" w14:textId="77777777" w:rsidR="00CD084F" w:rsidRPr="0033055B" w:rsidRDefault="00CD084F" w:rsidP="00CD084F">
            <w:pPr>
              <w:spacing w:after="0"/>
              <w:rPr>
                <w:rFonts w:cstheme="minorHAnsi"/>
              </w:rPr>
            </w:pPr>
            <w:r>
              <w:t>promovimi i shfrytëzimit të BRE-ve për ngrohje/ftohje</w:t>
            </w:r>
          </w:p>
        </w:tc>
        <w:tc>
          <w:tcPr>
            <w:tcW w:w="770" w:type="pct"/>
            <w:vAlign w:val="center"/>
          </w:tcPr>
          <w:p w14:paraId="448E1129" w14:textId="77777777" w:rsidR="00CD084F" w:rsidRPr="0033055B" w:rsidRDefault="00CD084F" w:rsidP="00CD084F">
            <w:pPr>
              <w:spacing w:after="0"/>
              <w:jc w:val="center"/>
              <w:rPr>
                <w:rFonts w:cstheme="minorHAnsi"/>
              </w:rPr>
            </w:pPr>
            <w:r>
              <w:t>Financiare</w:t>
            </w:r>
          </w:p>
        </w:tc>
        <w:tc>
          <w:tcPr>
            <w:tcW w:w="1128" w:type="pct"/>
            <w:vAlign w:val="center"/>
          </w:tcPr>
          <w:p w14:paraId="19351B8D" w14:textId="77777777" w:rsidR="00CD084F" w:rsidRPr="0033055B" w:rsidRDefault="00CD084F" w:rsidP="00CD084F">
            <w:pPr>
              <w:autoSpaceDE w:val="0"/>
              <w:autoSpaceDN w:val="0"/>
              <w:adjustRightInd w:val="0"/>
              <w:spacing w:after="0" w:line="240" w:lineRule="auto"/>
              <w:rPr>
                <w:rFonts w:cstheme="minorHAnsi"/>
              </w:rPr>
            </w:pPr>
            <w:r>
              <w:t>Rritja e penetrimit të BRE-ve</w:t>
            </w:r>
          </w:p>
        </w:tc>
        <w:tc>
          <w:tcPr>
            <w:tcW w:w="745" w:type="pct"/>
            <w:vAlign w:val="center"/>
          </w:tcPr>
          <w:p w14:paraId="256EB8E8" w14:textId="77777777" w:rsidR="00CD084F" w:rsidRPr="0033055B" w:rsidRDefault="00CD084F" w:rsidP="00CD084F">
            <w:pPr>
              <w:autoSpaceDE w:val="0"/>
              <w:autoSpaceDN w:val="0"/>
              <w:adjustRightInd w:val="0"/>
              <w:spacing w:after="0" w:line="240" w:lineRule="auto"/>
              <w:rPr>
                <w:rFonts w:cstheme="minorHAnsi"/>
              </w:rPr>
            </w:pPr>
            <w:r>
              <w:t>Investitorë, instalues</w:t>
            </w:r>
          </w:p>
        </w:tc>
        <w:tc>
          <w:tcPr>
            <w:tcW w:w="627" w:type="pct"/>
            <w:vAlign w:val="center"/>
          </w:tcPr>
          <w:p w14:paraId="23B8571A" w14:textId="77777777" w:rsidR="00CD084F" w:rsidRPr="0033055B" w:rsidRDefault="00C67F81" w:rsidP="00CD084F">
            <w:pPr>
              <w:spacing w:after="0"/>
              <w:jc w:val="center"/>
              <w:rPr>
                <w:rFonts w:cstheme="minorHAnsi"/>
              </w:rPr>
            </w:pPr>
            <w:r>
              <w:t>2018</w:t>
            </w:r>
          </w:p>
        </w:tc>
      </w:tr>
      <w:tr w:rsidR="00F91250" w:rsidRPr="0033055B" w14:paraId="4349AFE5" w14:textId="77777777" w:rsidTr="00A62216">
        <w:trPr>
          <w:trHeight w:val="70"/>
          <w:jc w:val="center"/>
        </w:trPr>
        <w:tc>
          <w:tcPr>
            <w:tcW w:w="245" w:type="pct"/>
            <w:vAlign w:val="center"/>
          </w:tcPr>
          <w:p w14:paraId="771FEF7A" w14:textId="77777777" w:rsidR="00F91250" w:rsidRPr="0033055B" w:rsidRDefault="00F91250" w:rsidP="00F91250">
            <w:pPr>
              <w:autoSpaceDE w:val="0"/>
              <w:autoSpaceDN w:val="0"/>
              <w:adjustRightInd w:val="0"/>
              <w:spacing w:after="0" w:line="240" w:lineRule="auto"/>
              <w:jc w:val="both"/>
              <w:rPr>
                <w:rFonts w:cstheme="minorHAnsi"/>
              </w:rPr>
            </w:pPr>
            <w:r>
              <w:t>2</w:t>
            </w:r>
          </w:p>
        </w:tc>
        <w:tc>
          <w:tcPr>
            <w:tcW w:w="1485" w:type="pct"/>
            <w:vAlign w:val="center"/>
          </w:tcPr>
          <w:p w14:paraId="1F330E56" w14:textId="77777777" w:rsidR="00F91250" w:rsidRPr="0033055B" w:rsidRDefault="00F91250" w:rsidP="00F91250">
            <w:pPr>
              <w:spacing w:after="0"/>
              <w:rPr>
                <w:rFonts w:cstheme="minorHAnsi"/>
              </w:rPr>
            </w:pPr>
            <w:r>
              <w:t>Kuotat obligative për furnizuesit e ngrohjes qendrore për pjesën e BRE-ve në furnizimin e tyre</w:t>
            </w:r>
          </w:p>
        </w:tc>
        <w:tc>
          <w:tcPr>
            <w:tcW w:w="770" w:type="pct"/>
            <w:vAlign w:val="center"/>
          </w:tcPr>
          <w:p w14:paraId="04B9CC31" w14:textId="77777777" w:rsidR="00F91250" w:rsidRPr="0033055B" w:rsidRDefault="00F91250" w:rsidP="00F91250">
            <w:pPr>
              <w:spacing w:after="0"/>
              <w:jc w:val="center"/>
              <w:rPr>
                <w:rFonts w:cstheme="minorHAnsi"/>
              </w:rPr>
            </w:pPr>
            <w:r>
              <w:t>Rregullatore</w:t>
            </w:r>
          </w:p>
        </w:tc>
        <w:tc>
          <w:tcPr>
            <w:tcW w:w="1128" w:type="pct"/>
            <w:vAlign w:val="center"/>
          </w:tcPr>
          <w:p w14:paraId="66DB2A32" w14:textId="77777777" w:rsidR="00F91250" w:rsidRPr="0033055B" w:rsidRDefault="00732B50" w:rsidP="00F91250">
            <w:pPr>
              <w:autoSpaceDE w:val="0"/>
              <w:autoSpaceDN w:val="0"/>
              <w:adjustRightInd w:val="0"/>
              <w:spacing w:after="0" w:line="240" w:lineRule="auto"/>
              <w:rPr>
                <w:rFonts w:cstheme="minorHAnsi"/>
              </w:rPr>
            </w:pPr>
            <w:r>
              <w:t>Rritja e shfrytëzimit të BRE-ve në ngrohjen qendrore</w:t>
            </w:r>
          </w:p>
        </w:tc>
        <w:tc>
          <w:tcPr>
            <w:tcW w:w="745" w:type="pct"/>
            <w:vAlign w:val="center"/>
          </w:tcPr>
          <w:p w14:paraId="00EEBB6D" w14:textId="77777777" w:rsidR="00F91250" w:rsidRPr="0033055B" w:rsidRDefault="00732B50" w:rsidP="00F91250">
            <w:pPr>
              <w:autoSpaceDE w:val="0"/>
              <w:autoSpaceDN w:val="0"/>
              <w:adjustRightInd w:val="0"/>
              <w:spacing w:after="0" w:line="240" w:lineRule="auto"/>
              <w:rPr>
                <w:rFonts w:cstheme="minorHAnsi"/>
              </w:rPr>
            </w:pPr>
            <w:r>
              <w:t>Furnizuesit e Ngrohjes qendrore</w:t>
            </w:r>
          </w:p>
        </w:tc>
        <w:tc>
          <w:tcPr>
            <w:tcW w:w="627" w:type="pct"/>
            <w:vAlign w:val="center"/>
          </w:tcPr>
          <w:p w14:paraId="6198F05B" w14:textId="77777777" w:rsidR="00F91250" w:rsidRPr="0033055B" w:rsidRDefault="007F56F6" w:rsidP="00F91250">
            <w:pPr>
              <w:spacing w:after="0"/>
              <w:jc w:val="center"/>
              <w:rPr>
                <w:rFonts w:cstheme="minorHAnsi"/>
              </w:rPr>
            </w:pPr>
            <w:r>
              <w:t>2019</w:t>
            </w:r>
          </w:p>
        </w:tc>
      </w:tr>
      <w:tr w:rsidR="00540F67" w:rsidRPr="0033055B" w14:paraId="17FEB55A" w14:textId="77777777" w:rsidTr="00A62216">
        <w:trPr>
          <w:trHeight w:val="70"/>
          <w:jc w:val="center"/>
        </w:trPr>
        <w:tc>
          <w:tcPr>
            <w:tcW w:w="245" w:type="pct"/>
            <w:vAlign w:val="center"/>
          </w:tcPr>
          <w:p w14:paraId="7CEDCB84" w14:textId="77777777" w:rsidR="00F91250" w:rsidRPr="0033055B" w:rsidRDefault="00EB1E33" w:rsidP="00F91250">
            <w:pPr>
              <w:autoSpaceDE w:val="0"/>
              <w:autoSpaceDN w:val="0"/>
              <w:adjustRightInd w:val="0"/>
              <w:spacing w:after="0" w:line="240" w:lineRule="auto"/>
              <w:jc w:val="both"/>
              <w:rPr>
                <w:rFonts w:cstheme="minorHAnsi"/>
              </w:rPr>
            </w:pPr>
            <w:r>
              <w:t>3</w:t>
            </w:r>
          </w:p>
        </w:tc>
        <w:tc>
          <w:tcPr>
            <w:tcW w:w="1485" w:type="pct"/>
            <w:vAlign w:val="center"/>
          </w:tcPr>
          <w:p w14:paraId="49A5734D" w14:textId="77777777" w:rsidR="00F91250" w:rsidRPr="0033055B" w:rsidRDefault="00F91250" w:rsidP="00F91250">
            <w:pPr>
              <w:spacing w:after="0"/>
              <w:rPr>
                <w:rFonts w:cstheme="minorHAnsi"/>
              </w:rPr>
            </w:pPr>
            <w:r>
              <w:t>Bonusi në tarifa hyrëse nga shfrytëzimi i ngrohjes nga ko-gjenerimi me të ripërtërishme</w:t>
            </w:r>
          </w:p>
        </w:tc>
        <w:tc>
          <w:tcPr>
            <w:tcW w:w="770" w:type="pct"/>
            <w:vAlign w:val="center"/>
          </w:tcPr>
          <w:p w14:paraId="6B451D9F" w14:textId="77777777" w:rsidR="00F91250" w:rsidRPr="0033055B" w:rsidRDefault="00F91250" w:rsidP="00F91250">
            <w:pPr>
              <w:spacing w:after="0"/>
              <w:jc w:val="center"/>
              <w:rPr>
                <w:rFonts w:cstheme="minorHAnsi"/>
              </w:rPr>
            </w:pPr>
            <w:r>
              <w:t>Rregullatore - financiare</w:t>
            </w:r>
          </w:p>
        </w:tc>
        <w:tc>
          <w:tcPr>
            <w:tcW w:w="1128" w:type="pct"/>
            <w:vAlign w:val="center"/>
          </w:tcPr>
          <w:p w14:paraId="558E55FF" w14:textId="77777777" w:rsidR="00F91250" w:rsidRPr="0033055B" w:rsidRDefault="00732B50" w:rsidP="00F91250">
            <w:pPr>
              <w:autoSpaceDE w:val="0"/>
              <w:autoSpaceDN w:val="0"/>
              <w:adjustRightInd w:val="0"/>
              <w:spacing w:after="0" w:line="240" w:lineRule="auto"/>
              <w:rPr>
                <w:rFonts w:cstheme="minorHAnsi"/>
              </w:rPr>
            </w:pPr>
            <w:r>
              <w:t>Rritja e shfrytëzimit të ngrohjes nga kogjenerimi me BRE</w:t>
            </w:r>
          </w:p>
        </w:tc>
        <w:tc>
          <w:tcPr>
            <w:tcW w:w="745" w:type="pct"/>
            <w:vAlign w:val="center"/>
          </w:tcPr>
          <w:p w14:paraId="5085ED94" w14:textId="77777777" w:rsidR="00F91250" w:rsidRPr="0033055B" w:rsidRDefault="00732B50" w:rsidP="00732B50">
            <w:pPr>
              <w:autoSpaceDE w:val="0"/>
              <w:autoSpaceDN w:val="0"/>
              <w:adjustRightInd w:val="0"/>
              <w:spacing w:after="0" w:line="240" w:lineRule="auto"/>
              <w:rPr>
                <w:rFonts w:cstheme="minorHAnsi"/>
              </w:rPr>
            </w:pPr>
            <w:r>
              <w:t>Investitorë, instalues</w:t>
            </w:r>
          </w:p>
        </w:tc>
        <w:tc>
          <w:tcPr>
            <w:tcW w:w="627" w:type="pct"/>
            <w:vAlign w:val="center"/>
          </w:tcPr>
          <w:p w14:paraId="3CF82DB8" w14:textId="77777777" w:rsidR="00F91250" w:rsidRPr="0033055B" w:rsidRDefault="007F56F6" w:rsidP="00F91250">
            <w:pPr>
              <w:spacing w:after="0"/>
              <w:jc w:val="center"/>
              <w:rPr>
                <w:rFonts w:cstheme="minorHAnsi"/>
              </w:rPr>
            </w:pPr>
            <w:r>
              <w:t>2019</w:t>
            </w:r>
          </w:p>
        </w:tc>
      </w:tr>
      <w:tr w:rsidR="00540F67" w:rsidRPr="0033055B" w14:paraId="63FE2486" w14:textId="77777777" w:rsidTr="00A62216">
        <w:trPr>
          <w:trHeight w:val="70"/>
          <w:jc w:val="center"/>
        </w:trPr>
        <w:tc>
          <w:tcPr>
            <w:tcW w:w="245" w:type="pct"/>
            <w:vAlign w:val="center"/>
          </w:tcPr>
          <w:p w14:paraId="217FF871" w14:textId="77777777" w:rsidR="00F91250" w:rsidRPr="0033055B" w:rsidRDefault="00EB1E33" w:rsidP="00F91250">
            <w:pPr>
              <w:autoSpaceDE w:val="0"/>
              <w:autoSpaceDN w:val="0"/>
              <w:adjustRightInd w:val="0"/>
              <w:spacing w:after="0" w:line="240" w:lineRule="auto"/>
              <w:jc w:val="both"/>
              <w:rPr>
                <w:rFonts w:cstheme="minorHAnsi"/>
              </w:rPr>
            </w:pPr>
            <w:r>
              <w:t>4</w:t>
            </w:r>
          </w:p>
        </w:tc>
        <w:tc>
          <w:tcPr>
            <w:tcW w:w="1485" w:type="pct"/>
            <w:vAlign w:val="center"/>
          </w:tcPr>
          <w:p w14:paraId="456ACA1D" w14:textId="77777777" w:rsidR="00F91250" w:rsidRPr="0033055B" w:rsidRDefault="00F91250" w:rsidP="00F91250">
            <w:pPr>
              <w:spacing w:after="0"/>
              <w:rPr>
                <w:rFonts w:cstheme="minorHAnsi"/>
              </w:rPr>
            </w:pPr>
            <w:r>
              <w:t>Kërkesat minimale për BRE në ndërtesa</w:t>
            </w:r>
          </w:p>
        </w:tc>
        <w:tc>
          <w:tcPr>
            <w:tcW w:w="770" w:type="pct"/>
            <w:vAlign w:val="center"/>
          </w:tcPr>
          <w:p w14:paraId="2CD883D1" w14:textId="77777777" w:rsidR="00F91250" w:rsidRPr="0033055B" w:rsidRDefault="00F91250" w:rsidP="00F91250">
            <w:pPr>
              <w:spacing w:after="0"/>
              <w:jc w:val="center"/>
              <w:rPr>
                <w:rFonts w:cstheme="minorHAnsi"/>
              </w:rPr>
            </w:pPr>
            <w:r>
              <w:t>Rregullatore</w:t>
            </w:r>
          </w:p>
        </w:tc>
        <w:tc>
          <w:tcPr>
            <w:tcW w:w="1128" w:type="pct"/>
            <w:vAlign w:val="center"/>
          </w:tcPr>
          <w:p w14:paraId="0945B522" w14:textId="77777777" w:rsidR="006D4386" w:rsidRPr="0033055B" w:rsidRDefault="007F56F6" w:rsidP="006D4386">
            <w:pPr>
              <w:autoSpaceDE w:val="0"/>
              <w:autoSpaceDN w:val="0"/>
              <w:adjustRightInd w:val="0"/>
              <w:spacing w:after="0" w:line="240" w:lineRule="auto"/>
              <w:rPr>
                <w:rFonts w:cstheme="minorHAnsi"/>
              </w:rPr>
            </w:pPr>
            <w:r>
              <w:t xml:space="preserve">Rritja e penetrimit të BRE-ve </w:t>
            </w:r>
            <w:r>
              <w:rPr>
                <w:shd w:val="clear" w:color="auto" w:fill="FFFFFF"/>
              </w:rPr>
              <w:t>në ndërtesa</w:t>
            </w:r>
          </w:p>
        </w:tc>
        <w:tc>
          <w:tcPr>
            <w:tcW w:w="745" w:type="pct"/>
            <w:vAlign w:val="center"/>
          </w:tcPr>
          <w:p w14:paraId="52428269" w14:textId="77777777" w:rsidR="00F91250" w:rsidRPr="0033055B" w:rsidRDefault="00A62216" w:rsidP="00A62216">
            <w:pPr>
              <w:autoSpaceDE w:val="0"/>
              <w:autoSpaceDN w:val="0"/>
              <w:adjustRightInd w:val="0"/>
              <w:spacing w:after="0" w:line="240" w:lineRule="auto"/>
              <w:rPr>
                <w:rFonts w:cstheme="minorHAnsi"/>
              </w:rPr>
            </w:pPr>
            <w:r>
              <w:t>Investitorë, instalues</w:t>
            </w:r>
          </w:p>
        </w:tc>
        <w:tc>
          <w:tcPr>
            <w:tcW w:w="627" w:type="pct"/>
            <w:vAlign w:val="center"/>
          </w:tcPr>
          <w:p w14:paraId="5C91E4AA" w14:textId="77777777" w:rsidR="00F91250" w:rsidRPr="0033055B" w:rsidRDefault="007F56F6" w:rsidP="00F91250">
            <w:pPr>
              <w:spacing w:after="0"/>
              <w:jc w:val="center"/>
              <w:rPr>
                <w:rFonts w:cstheme="minorHAnsi"/>
              </w:rPr>
            </w:pPr>
            <w:r>
              <w:t>2019</w:t>
            </w:r>
          </w:p>
        </w:tc>
      </w:tr>
      <w:tr w:rsidR="0056008A" w:rsidRPr="0033055B" w14:paraId="5A7DA37C" w14:textId="77777777" w:rsidTr="00A62216">
        <w:trPr>
          <w:trHeight w:val="70"/>
          <w:jc w:val="center"/>
        </w:trPr>
        <w:tc>
          <w:tcPr>
            <w:tcW w:w="5000" w:type="pct"/>
            <w:gridSpan w:val="6"/>
            <w:vAlign w:val="center"/>
          </w:tcPr>
          <w:p w14:paraId="27CC0F8F" w14:textId="77777777" w:rsidR="0056008A" w:rsidRPr="0033055B" w:rsidRDefault="00EB1E33" w:rsidP="00CD084F">
            <w:pPr>
              <w:autoSpaceDE w:val="0"/>
              <w:autoSpaceDN w:val="0"/>
              <w:adjustRightInd w:val="0"/>
              <w:spacing w:after="0" w:line="240" w:lineRule="auto"/>
              <w:rPr>
                <w:rFonts w:cstheme="minorHAnsi"/>
                <w:b/>
              </w:rPr>
            </w:pPr>
            <w:r>
              <w:rPr>
                <w:b/>
              </w:rPr>
              <w:t>Transporti</w:t>
            </w:r>
          </w:p>
        </w:tc>
      </w:tr>
      <w:tr w:rsidR="00F91250" w:rsidRPr="0033055B" w14:paraId="21D9C2E5" w14:textId="77777777" w:rsidTr="00A62216">
        <w:trPr>
          <w:trHeight w:val="70"/>
          <w:jc w:val="center"/>
        </w:trPr>
        <w:tc>
          <w:tcPr>
            <w:tcW w:w="245" w:type="pct"/>
            <w:vAlign w:val="center"/>
          </w:tcPr>
          <w:p w14:paraId="20F5B147" w14:textId="77777777" w:rsidR="00F91250" w:rsidRPr="0033055B" w:rsidRDefault="00EB1E33" w:rsidP="00F91250">
            <w:pPr>
              <w:autoSpaceDE w:val="0"/>
              <w:autoSpaceDN w:val="0"/>
              <w:adjustRightInd w:val="0"/>
              <w:spacing w:after="0" w:line="240" w:lineRule="auto"/>
              <w:jc w:val="both"/>
              <w:rPr>
                <w:rFonts w:cstheme="minorHAnsi"/>
              </w:rPr>
            </w:pPr>
            <w:r>
              <w:t>1</w:t>
            </w:r>
          </w:p>
        </w:tc>
        <w:tc>
          <w:tcPr>
            <w:tcW w:w="1485" w:type="pct"/>
            <w:vAlign w:val="center"/>
          </w:tcPr>
          <w:p w14:paraId="09EAA2DF" w14:textId="77777777" w:rsidR="00F91250" w:rsidRDefault="00F91250" w:rsidP="00F91250">
            <w:pPr>
              <w:spacing w:after="0"/>
              <w:rPr>
                <w:rFonts w:cstheme="minorHAnsi"/>
              </w:rPr>
            </w:pPr>
            <w:r>
              <w:t>Shfrytëzimi i bio-lëndëve</w:t>
            </w:r>
          </w:p>
          <w:p w14:paraId="0C9EB37C" w14:textId="09770D19" w:rsidR="00D05BAC" w:rsidRPr="0033055B" w:rsidRDefault="00D05BAC" w:rsidP="00F91250">
            <w:pPr>
              <w:spacing w:after="0"/>
              <w:rPr>
                <w:rFonts w:cstheme="minorHAnsi"/>
              </w:rPr>
            </w:pPr>
            <w:r>
              <w:t xml:space="preserve">Udhëzimi Administrativ për shfrytëzimin e BRE-ve në sektorin e transportit </w:t>
            </w:r>
          </w:p>
        </w:tc>
        <w:tc>
          <w:tcPr>
            <w:tcW w:w="770" w:type="pct"/>
            <w:vAlign w:val="center"/>
          </w:tcPr>
          <w:p w14:paraId="3F58427C" w14:textId="77777777" w:rsidR="00F91250" w:rsidRPr="0033055B" w:rsidRDefault="00F91250" w:rsidP="00F91250">
            <w:pPr>
              <w:spacing w:after="0"/>
              <w:jc w:val="center"/>
              <w:rPr>
                <w:rFonts w:cstheme="minorHAnsi"/>
              </w:rPr>
            </w:pPr>
            <w:r>
              <w:t>Rregullatore</w:t>
            </w:r>
          </w:p>
        </w:tc>
        <w:tc>
          <w:tcPr>
            <w:tcW w:w="1128" w:type="pct"/>
            <w:vAlign w:val="center"/>
          </w:tcPr>
          <w:p w14:paraId="37FB6FDB" w14:textId="77777777" w:rsidR="00F91250" w:rsidRPr="0033055B" w:rsidRDefault="00A62216" w:rsidP="00A62216">
            <w:pPr>
              <w:pStyle w:val="Default"/>
              <w:spacing w:before="40" w:after="40"/>
              <w:rPr>
                <w:rFonts w:cstheme="minorHAnsi"/>
                <w:color w:val="auto"/>
              </w:rPr>
            </w:pPr>
            <w:r>
              <w:rPr>
                <w:color w:val="auto"/>
                <w:sz w:val="20"/>
                <w:szCs w:val="20"/>
              </w:rPr>
              <w:t>10</w:t>
            </w:r>
            <w:r>
              <w:rPr>
                <w:rFonts w:asciiTheme="minorHAnsi" w:hAnsiTheme="minorHAnsi"/>
                <w:color w:val="auto"/>
                <w:sz w:val="22"/>
                <w:szCs w:val="22"/>
              </w:rPr>
              <w:t xml:space="preserve">% hise në përzierje në vitin 2020, skemat e certifikimit të qëndrueshmërisë dhe trupat e certifikimit </w:t>
            </w:r>
          </w:p>
        </w:tc>
        <w:tc>
          <w:tcPr>
            <w:tcW w:w="745" w:type="pct"/>
            <w:vAlign w:val="center"/>
          </w:tcPr>
          <w:p w14:paraId="43FEF21C" w14:textId="77777777" w:rsidR="00F91250" w:rsidRPr="0033055B" w:rsidRDefault="00A62216" w:rsidP="00F91250">
            <w:pPr>
              <w:autoSpaceDE w:val="0"/>
              <w:autoSpaceDN w:val="0"/>
              <w:adjustRightInd w:val="0"/>
              <w:spacing w:after="0" w:line="240" w:lineRule="auto"/>
              <w:rPr>
                <w:rFonts w:cstheme="minorHAnsi"/>
              </w:rPr>
            </w:pPr>
            <w:r>
              <w:t>Distributorët, prodhuesit e bio-lëndëve</w:t>
            </w:r>
          </w:p>
        </w:tc>
        <w:tc>
          <w:tcPr>
            <w:tcW w:w="627" w:type="pct"/>
            <w:vAlign w:val="center"/>
          </w:tcPr>
          <w:p w14:paraId="269AF5F0" w14:textId="77777777" w:rsidR="00F91250" w:rsidRPr="0033055B" w:rsidRDefault="00C67F81" w:rsidP="00F91250">
            <w:pPr>
              <w:spacing w:after="0"/>
              <w:jc w:val="center"/>
              <w:rPr>
                <w:rFonts w:cstheme="minorHAnsi"/>
              </w:rPr>
            </w:pPr>
            <w:r>
              <w:t>2018</w:t>
            </w:r>
          </w:p>
        </w:tc>
      </w:tr>
      <w:tr w:rsidR="00F91250" w:rsidRPr="0033055B" w14:paraId="42795AA9" w14:textId="77777777" w:rsidTr="00A62216">
        <w:trPr>
          <w:trHeight w:val="70"/>
          <w:jc w:val="center"/>
        </w:trPr>
        <w:tc>
          <w:tcPr>
            <w:tcW w:w="245" w:type="pct"/>
            <w:vAlign w:val="center"/>
          </w:tcPr>
          <w:p w14:paraId="3A168257" w14:textId="77777777" w:rsidR="00F91250" w:rsidRPr="0033055B" w:rsidRDefault="00EB1E33" w:rsidP="00F91250">
            <w:pPr>
              <w:autoSpaceDE w:val="0"/>
              <w:autoSpaceDN w:val="0"/>
              <w:adjustRightInd w:val="0"/>
              <w:spacing w:after="0" w:line="240" w:lineRule="auto"/>
              <w:jc w:val="both"/>
              <w:rPr>
                <w:rFonts w:cstheme="minorHAnsi"/>
              </w:rPr>
            </w:pPr>
            <w:r>
              <w:t>2</w:t>
            </w:r>
          </w:p>
        </w:tc>
        <w:tc>
          <w:tcPr>
            <w:tcW w:w="1485" w:type="pct"/>
            <w:vAlign w:val="center"/>
          </w:tcPr>
          <w:p w14:paraId="0C931176" w14:textId="77777777" w:rsidR="00F91250" w:rsidRPr="0033055B" w:rsidRDefault="00F91250" w:rsidP="00F91250">
            <w:pPr>
              <w:spacing w:after="0"/>
              <w:rPr>
                <w:rFonts w:cstheme="minorHAnsi"/>
              </w:rPr>
            </w:pPr>
            <w:r>
              <w:t>Përjashtimi nga taksa e akcizës për bio-lëndë</w:t>
            </w:r>
          </w:p>
        </w:tc>
        <w:tc>
          <w:tcPr>
            <w:tcW w:w="770" w:type="pct"/>
            <w:vAlign w:val="center"/>
          </w:tcPr>
          <w:p w14:paraId="011184C8" w14:textId="77777777" w:rsidR="00F91250" w:rsidRPr="0033055B" w:rsidRDefault="00F91250" w:rsidP="00F91250">
            <w:pPr>
              <w:spacing w:after="0"/>
              <w:jc w:val="center"/>
              <w:rPr>
                <w:rFonts w:cstheme="minorHAnsi"/>
              </w:rPr>
            </w:pPr>
            <w:r>
              <w:t xml:space="preserve">Fiskale </w:t>
            </w:r>
          </w:p>
        </w:tc>
        <w:tc>
          <w:tcPr>
            <w:tcW w:w="1128" w:type="pct"/>
            <w:vAlign w:val="center"/>
          </w:tcPr>
          <w:p w14:paraId="181FA6E1" w14:textId="3EE0F1B4" w:rsidR="00F91250" w:rsidRPr="0033055B" w:rsidRDefault="00A62216" w:rsidP="00F91250">
            <w:pPr>
              <w:autoSpaceDE w:val="0"/>
              <w:autoSpaceDN w:val="0"/>
              <w:adjustRightInd w:val="0"/>
              <w:spacing w:after="0" w:line="240" w:lineRule="auto"/>
              <w:rPr>
                <w:rFonts w:cstheme="minorHAnsi"/>
              </w:rPr>
            </w:pPr>
            <w:r>
              <w:t xml:space="preserve">Rritja e konsumit të bio-lëndëve në sektorin e transportit </w:t>
            </w:r>
          </w:p>
        </w:tc>
        <w:tc>
          <w:tcPr>
            <w:tcW w:w="745" w:type="pct"/>
            <w:vAlign w:val="center"/>
          </w:tcPr>
          <w:p w14:paraId="1151BE63" w14:textId="54DF0944" w:rsidR="00F91250" w:rsidRPr="0033055B" w:rsidRDefault="00DF33F8" w:rsidP="00F91250">
            <w:pPr>
              <w:autoSpaceDE w:val="0"/>
              <w:autoSpaceDN w:val="0"/>
              <w:adjustRightInd w:val="0"/>
              <w:spacing w:after="0" w:line="240" w:lineRule="auto"/>
              <w:rPr>
                <w:rFonts w:cstheme="minorHAnsi"/>
              </w:rPr>
            </w:pPr>
            <w:r>
              <w:t xml:space="preserve">Ministria e Financave </w:t>
            </w:r>
          </w:p>
        </w:tc>
        <w:tc>
          <w:tcPr>
            <w:tcW w:w="627" w:type="pct"/>
            <w:vAlign w:val="center"/>
          </w:tcPr>
          <w:p w14:paraId="0801A73C" w14:textId="77777777" w:rsidR="00F91250" w:rsidRPr="0033055B" w:rsidRDefault="00C67F81" w:rsidP="00F91250">
            <w:pPr>
              <w:spacing w:after="0"/>
              <w:jc w:val="center"/>
              <w:rPr>
                <w:rFonts w:cstheme="minorHAnsi"/>
              </w:rPr>
            </w:pPr>
            <w:r>
              <w:t>2019</w:t>
            </w:r>
          </w:p>
        </w:tc>
      </w:tr>
      <w:tr w:rsidR="00F91250" w:rsidRPr="0033055B" w14:paraId="30C074C1" w14:textId="77777777" w:rsidTr="00A62216">
        <w:trPr>
          <w:trHeight w:val="70"/>
          <w:jc w:val="center"/>
        </w:trPr>
        <w:tc>
          <w:tcPr>
            <w:tcW w:w="245" w:type="pct"/>
            <w:vAlign w:val="center"/>
          </w:tcPr>
          <w:p w14:paraId="4497EDE2" w14:textId="77777777" w:rsidR="00F91250" w:rsidRPr="0033055B" w:rsidRDefault="00EB1E33" w:rsidP="00F91250">
            <w:pPr>
              <w:autoSpaceDE w:val="0"/>
              <w:autoSpaceDN w:val="0"/>
              <w:adjustRightInd w:val="0"/>
              <w:spacing w:after="0" w:line="240" w:lineRule="auto"/>
              <w:jc w:val="both"/>
              <w:rPr>
                <w:rFonts w:cstheme="minorHAnsi"/>
              </w:rPr>
            </w:pPr>
            <w:r>
              <w:t>3</w:t>
            </w:r>
          </w:p>
        </w:tc>
        <w:tc>
          <w:tcPr>
            <w:tcW w:w="1485" w:type="pct"/>
            <w:vAlign w:val="center"/>
          </w:tcPr>
          <w:p w14:paraId="138DC93A" w14:textId="1814C7C0" w:rsidR="00F91250" w:rsidRPr="0033055B" w:rsidRDefault="00ED480C" w:rsidP="00F91250">
            <w:pPr>
              <w:spacing w:after="0"/>
              <w:rPr>
                <w:rFonts w:cstheme="minorHAnsi"/>
              </w:rPr>
            </w:pPr>
            <w:r>
              <w:rPr>
                <w:color w:val="C00000"/>
              </w:rPr>
              <w:t>Pjesëmarrja</w:t>
            </w:r>
            <w:r w:rsidR="00F91250">
              <w:t xml:space="preserve"> e BRE-ve në transportin publik</w:t>
            </w:r>
          </w:p>
        </w:tc>
        <w:tc>
          <w:tcPr>
            <w:tcW w:w="770" w:type="pct"/>
            <w:vAlign w:val="center"/>
          </w:tcPr>
          <w:p w14:paraId="75C65D70" w14:textId="77777777" w:rsidR="00D05BAC" w:rsidRDefault="00F91250" w:rsidP="00F91250">
            <w:pPr>
              <w:spacing w:after="0"/>
              <w:jc w:val="center"/>
              <w:rPr>
                <w:rFonts w:cstheme="minorHAnsi"/>
              </w:rPr>
            </w:pPr>
            <w:r>
              <w:t>Rregullatore</w:t>
            </w:r>
          </w:p>
          <w:p w14:paraId="2E9246EE" w14:textId="55FB8873" w:rsidR="00F91250" w:rsidRDefault="00D05BAC" w:rsidP="00F91250">
            <w:pPr>
              <w:spacing w:after="0"/>
              <w:jc w:val="center"/>
              <w:rPr>
                <w:rFonts w:cstheme="minorHAnsi"/>
              </w:rPr>
            </w:pPr>
            <w:r>
              <w:t>Promovuese</w:t>
            </w:r>
          </w:p>
          <w:p w14:paraId="416D6C8B" w14:textId="77777777" w:rsidR="00D05BAC" w:rsidRPr="0033055B" w:rsidRDefault="00D05BAC" w:rsidP="00F91250">
            <w:pPr>
              <w:spacing w:after="0"/>
              <w:jc w:val="center"/>
              <w:rPr>
                <w:rFonts w:cstheme="minorHAnsi"/>
                <w:lang w:val="en-GB"/>
              </w:rPr>
            </w:pPr>
          </w:p>
        </w:tc>
        <w:tc>
          <w:tcPr>
            <w:tcW w:w="1128" w:type="pct"/>
            <w:vAlign w:val="center"/>
          </w:tcPr>
          <w:p w14:paraId="1DE9EC5C" w14:textId="7F44D809" w:rsidR="00F91250" w:rsidRPr="0033055B" w:rsidRDefault="00ED480C" w:rsidP="00F91250">
            <w:pPr>
              <w:autoSpaceDE w:val="0"/>
              <w:autoSpaceDN w:val="0"/>
              <w:adjustRightInd w:val="0"/>
              <w:spacing w:after="0" w:line="240" w:lineRule="auto"/>
              <w:rPr>
                <w:rFonts w:cstheme="minorHAnsi"/>
              </w:rPr>
            </w:pPr>
            <w:r>
              <w:rPr>
                <w:color w:val="C00000"/>
              </w:rPr>
              <w:t>Pjesëmarrja</w:t>
            </w:r>
            <w:r w:rsidR="00A62216">
              <w:t xml:space="preserve"> më e madhe e BRE-ve në transportin publik</w:t>
            </w:r>
          </w:p>
        </w:tc>
        <w:tc>
          <w:tcPr>
            <w:tcW w:w="745" w:type="pct"/>
            <w:vAlign w:val="center"/>
          </w:tcPr>
          <w:p w14:paraId="321D536C" w14:textId="77777777" w:rsidR="00F91250" w:rsidRPr="0033055B" w:rsidRDefault="00A62216" w:rsidP="00F91250">
            <w:pPr>
              <w:autoSpaceDE w:val="0"/>
              <w:autoSpaceDN w:val="0"/>
              <w:adjustRightInd w:val="0"/>
              <w:spacing w:after="0" w:line="240" w:lineRule="auto"/>
              <w:rPr>
                <w:rFonts w:cstheme="minorHAnsi"/>
              </w:rPr>
            </w:pPr>
            <w:r>
              <w:t xml:space="preserve">Transport publik </w:t>
            </w:r>
          </w:p>
        </w:tc>
        <w:tc>
          <w:tcPr>
            <w:tcW w:w="627" w:type="pct"/>
            <w:vAlign w:val="center"/>
          </w:tcPr>
          <w:p w14:paraId="2A163372" w14:textId="77777777" w:rsidR="00F91250" w:rsidRPr="0033055B" w:rsidRDefault="00C67F81" w:rsidP="00F91250">
            <w:pPr>
              <w:spacing w:after="0"/>
              <w:jc w:val="center"/>
              <w:rPr>
                <w:rFonts w:cstheme="minorHAnsi"/>
              </w:rPr>
            </w:pPr>
            <w:r>
              <w:t>2019</w:t>
            </w:r>
          </w:p>
        </w:tc>
      </w:tr>
      <w:tr w:rsidR="0056008A" w:rsidRPr="0033055B" w14:paraId="163E1D19" w14:textId="77777777" w:rsidTr="00A62216">
        <w:trPr>
          <w:trHeight w:val="70"/>
          <w:jc w:val="center"/>
        </w:trPr>
        <w:tc>
          <w:tcPr>
            <w:tcW w:w="5000" w:type="pct"/>
            <w:gridSpan w:val="6"/>
            <w:vAlign w:val="center"/>
          </w:tcPr>
          <w:p w14:paraId="624BEFDF" w14:textId="3CB7E484" w:rsidR="0056008A" w:rsidRPr="0033055B" w:rsidRDefault="00EB1E33" w:rsidP="00CD084F">
            <w:pPr>
              <w:autoSpaceDE w:val="0"/>
              <w:autoSpaceDN w:val="0"/>
              <w:adjustRightInd w:val="0"/>
              <w:spacing w:after="0" w:line="240" w:lineRule="auto"/>
              <w:rPr>
                <w:rFonts w:cstheme="minorHAnsi"/>
              </w:rPr>
            </w:pPr>
            <w:r>
              <w:rPr>
                <w:b/>
              </w:rPr>
              <w:t>Ndërsektorale</w:t>
            </w:r>
          </w:p>
        </w:tc>
      </w:tr>
      <w:tr w:rsidR="00F91250" w:rsidRPr="0033055B" w14:paraId="33ADB0E8" w14:textId="77777777" w:rsidTr="00A62216">
        <w:trPr>
          <w:trHeight w:val="70"/>
          <w:jc w:val="center"/>
        </w:trPr>
        <w:tc>
          <w:tcPr>
            <w:tcW w:w="245" w:type="pct"/>
            <w:vAlign w:val="center"/>
          </w:tcPr>
          <w:p w14:paraId="67EF0ED0" w14:textId="77777777" w:rsidR="00F91250" w:rsidRPr="0033055B" w:rsidRDefault="00EB1E33" w:rsidP="00F91250">
            <w:pPr>
              <w:autoSpaceDE w:val="0"/>
              <w:autoSpaceDN w:val="0"/>
              <w:adjustRightInd w:val="0"/>
              <w:spacing w:after="0" w:line="240" w:lineRule="auto"/>
              <w:jc w:val="both"/>
              <w:rPr>
                <w:rFonts w:cstheme="minorHAnsi"/>
              </w:rPr>
            </w:pPr>
            <w:r>
              <w:t>1</w:t>
            </w:r>
          </w:p>
        </w:tc>
        <w:tc>
          <w:tcPr>
            <w:tcW w:w="1485" w:type="pct"/>
            <w:vAlign w:val="center"/>
          </w:tcPr>
          <w:p w14:paraId="59182D62" w14:textId="77777777" w:rsidR="00F91250" w:rsidRPr="0033055B" w:rsidRDefault="00F91250" w:rsidP="00F91250">
            <w:pPr>
              <w:spacing w:after="0"/>
              <w:rPr>
                <w:rFonts w:cstheme="minorHAnsi"/>
              </w:rPr>
            </w:pPr>
            <w:r>
              <w:t>Lirimi doganor për pjesë dhe pajisje për shfrytëzimin e BRE-ve</w:t>
            </w:r>
          </w:p>
        </w:tc>
        <w:tc>
          <w:tcPr>
            <w:tcW w:w="770" w:type="pct"/>
            <w:vAlign w:val="center"/>
          </w:tcPr>
          <w:p w14:paraId="0F91F10E" w14:textId="77777777" w:rsidR="00F91250" w:rsidRPr="0033055B" w:rsidRDefault="00F91250" w:rsidP="00F91250">
            <w:pPr>
              <w:spacing w:after="0"/>
              <w:jc w:val="center"/>
              <w:rPr>
                <w:rFonts w:cstheme="minorHAnsi"/>
              </w:rPr>
            </w:pPr>
            <w:r>
              <w:t>Fiskale</w:t>
            </w:r>
          </w:p>
        </w:tc>
        <w:tc>
          <w:tcPr>
            <w:tcW w:w="1128" w:type="pct"/>
            <w:vAlign w:val="center"/>
          </w:tcPr>
          <w:p w14:paraId="6CD96180" w14:textId="6E092C4B" w:rsidR="00F91250" w:rsidRPr="0033055B" w:rsidRDefault="0093664F" w:rsidP="00F91250">
            <w:pPr>
              <w:autoSpaceDE w:val="0"/>
              <w:autoSpaceDN w:val="0"/>
              <w:adjustRightInd w:val="0"/>
              <w:spacing w:after="0" w:line="240" w:lineRule="auto"/>
              <w:rPr>
                <w:rFonts w:cstheme="minorHAnsi"/>
              </w:rPr>
            </w:pPr>
            <w:r>
              <w:t xml:space="preserve">Përfitimi më i madh i projekteve të BRE-ve, tërheqja e </w:t>
            </w:r>
            <w:r w:rsidR="0002757F">
              <w:t>investimet</w:t>
            </w:r>
          </w:p>
        </w:tc>
        <w:tc>
          <w:tcPr>
            <w:tcW w:w="745" w:type="pct"/>
            <w:vAlign w:val="center"/>
          </w:tcPr>
          <w:p w14:paraId="6A7E6D46" w14:textId="77777777" w:rsidR="00F91250" w:rsidRPr="0033055B" w:rsidRDefault="0002757F" w:rsidP="00F91250">
            <w:pPr>
              <w:autoSpaceDE w:val="0"/>
              <w:autoSpaceDN w:val="0"/>
              <w:adjustRightInd w:val="0"/>
              <w:spacing w:after="0" w:line="240" w:lineRule="auto"/>
              <w:rPr>
                <w:rFonts w:cstheme="minorHAnsi"/>
              </w:rPr>
            </w:pPr>
            <w:r>
              <w:t>Investitorë</w:t>
            </w:r>
          </w:p>
        </w:tc>
        <w:tc>
          <w:tcPr>
            <w:tcW w:w="627" w:type="pct"/>
            <w:vAlign w:val="center"/>
          </w:tcPr>
          <w:p w14:paraId="0F33075A" w14:textId="77777777" w:rsidR="00F91250" w:rsidRPr="0033055B" w:rsidRDefault="007F56F6" w:rsidP="00F91250">
            <w:pPr>
              <w:spacing w:after="0"/>
              <w:jc w:val="center"/>
              <w:rPr>
                <w:rFonts w:cstheme="minorHAnsi"/>
              </w:rPr>
            </w:pPr>
            <w:r>
              <w:t>2018</w:t>
            </w:r>
          </w:p>
        </w:tc>
      </w:tr>
      <w:tr w:rsidR="00F91250" w:rsidRPr="0033055B" w14:paraId="2A8F918D" w14:textId="77777777" w:rsidTr="00A62216">
        <w:trPr>
          <w:trHeight w:val="70"/>
          <w:jc w:val="center"/>
        </w:trPr>
        <w:tc>
          <w:tcPr>
            <w:tcW w:w="245" w:type="pct"/>
            <w:vAlign w:val="center"/>
          </w:tcPr>
          <w:p w14:paraId="29688A60" w14:textId="77777777" w:rsidR="00F91250" w:rsidRPr="0033055B" w:rsidRDefault="00EB1E33" w:rsidP="00F91250">
            <w:pPr>
              <w:autoSpaceDE w:val="0"/>
              <w:autoSpaceDN w:val="0"/>
              <w:adjustRightInd w:val="0"/>
              <w:spacing w:after="0" w:line="240" w:lineRule="auto"/>
              <w:jc w:val="both"/>
              <w:rPr>
                <w:rFonts w:cstheme="minorHAnsi"/>
              </w:rPr>
            </w:pPr>
            <w:r>
              <w:t>2</w:t>
            </w:r>
          </w:p>
        </w:tc>
        <w:tc>
          <w:tcPr>
            <w:tcW w:w="1485" w:type="pct"/>
            <w:vAlign w:val="center"/>
          </w:tcPr>
          <w:p w14:paraId="2A915367" w14:textId="0B73492D" w:rsidR="00F91250" w:rsidRPr="0033055B" w:rsidRDefault="00F91250" w:rsidP="00F91250">
            <w:pPr>
              <w:spacing w:after="0"/>
              <w:rPr>
                <w:rFonts w:cstheme="minorHAnsi"/>
              </w:rPr>
            </w:pPr>
            <w:r>
              <w:t>fitimi i liruar nga TVSH për investime në BRE</w:t>
            </w:r>
          </w:p>
        </w:tc>
        <w:tc>
          <w:tcPr>
            <w:tcW w:w="770" w:type="pct"/>
            <w:vAlign w:val="center"/>
          </w:tcPr>
          <w:p w14:paraId="243957AF" w14:textId="77777777" w:rsidR="00F91250" w:rsidRPr="0033055B" w:rsidRDefault="00F91250" w:rsidP="00F91250">
            <w:pPr>
              <w:spacing w:after="0"/>
              <w:jc w:val="center"/>
              <w:rPr>
                <w:rFonts w:cstheme="minorHAnsi"/>
              </w:rPr>
            </w:pPr>
            <w:r>
              <w:t>Fiskale</w:t>
            </w:r>
          </w:p>
        </w:tc>
        <w:tc>
          <w:tcPr>
            <w:tcW w:w="1128" w:type="pct"/>
            <w:vAlign w:val="center"/>
          </w:tcPr>
          <w:p w14:paraId="46E59011" w14:textId="56C88C9E" w:rsidR="00F91250" w:rsidRPr="0033055B" w:rsidRDefault="0093664F" w:rsidP="00F91250">
            <w:pPr>
              <w:autoSpaceDE w:val="0"/>
              <w:autoSpaceDN w:val="0"/>
              <w:adjustRightInd w:val="0"/>
              <w:spacing w:after="0" w:line="240" w:lineRule="auto"/>
              <w:rPr>
                <w:rFonts w:cstheme="minorHAnsi"/>
              </w:rPr>
            </w:pPr>
            <w:r>
              <w:t xml:space="preserve">Përfitimi më i madh i  projekteve të BRE-ve, tërheqja e </w:t>
            </w:r>
            <w:r w:rsidR="0002757F">
              <w:t>investimet</w:t>
            </w:r>
          </w:p>
        </w:tc>
        <w:tc>
          <w:tcPr>
            <w:tcW w:w="745" w:type="pct"/>
            <w:vAlign w:val="center"/>
          </w:tcPr>
          <w:p w14:paraId="6FD4BE8E" w14:textId="77777777" w:rsidR="00F91250" w:rsidRPr="0033055B" w:rsidRDefault="0002757F" w:rsidP="00F91250">
            <w:pPr>
              <w:autoSpaceDE w:val="0"/>
              <w:autoSpaceDN w:val="0"/>
              <w:adjustRightInd w:val="0"/>
              <w:spacing w:after="0" w:line="240" w:lineRule="auto"/>
              <w:rPr>
                <w:rFonts w:cstheme="minorHAnsi"/>
              </w:rPr>
            </w:pPr>
            <w:r>
              <w:t>Investitorë</w:t>
            </w:r>
          </w:p>
        </w:tc>
        <w:tc>
          <w:tcPr>
            <w:tcW w:w="627" w:type="pct"/>
            <w:vAlign w:val="center"/>
          </w:tcPr>
          <w:p w14:paraId="4F9F3A62" w14:textId="60CB0429" w:rsidR="00F91250" w:rsidRPr="0033055B" w:rsidRDefault="007F56F6" w:rsidP="00F91250">
            <w:pPr>
              <w:spacing w:after="0"/>
              <w:jc w:val="center"/>
              <w:rPr>
                <w:rFonts w:cstheme="minorHAnsi"/>
              </w:rPr>
            </w:pPr>
            <w:r>
              <w:t>2017-</w:t>
            </w:r>
          </w:p>
        </w:tc>
      </w:tr>
      <w:tr w:rsidR="00540F67" w:rsidRPr="0033055B" w14:paraId="46206291" w14:textId="77777777" w:rsidTr="00A62216">
        <w:trPr>
          <w:trHeight w:val="70"/>
          <w:jc w:val="center"/>
        </w:trPr>
        <w:tc>
          <w:tcPr>
            <w:tcW w:w="245" w:type="pct"/>
            <w:vAlign w:val="center"/>
          </w:tcPr>
          <w:p w14:paraId="60CFA0CB" w14:textId="77777777" w:rsidR="00F91250" w:rsidRPr="0033055B" w:rsidRDefault="00EB1E33" w:rsidP="00F91250">
            <w:pPr>
              <w:autoSpaceDE w:val="0"/>
              <w:autoSpaceDN w:val="0"/>
              <w:adjustRightInd w:val="0"/>
              <w:spacing w:after="0" w:line="240" w:lineRule="auto"/>
              <w:jc w:val="both"/>
              <w:rPr>
                <w:rFonts w:cstheme="minorHAnsi"/>
              </w:rPr>
            </w:pPr>
            <w:r>
              <w:t>3</w:t>
            </w:r>
          </w:p>
        </w:tc>
        <w:tc>
          <w:tcPr>
            <w:tcW w:w="1485" w:type="pct"/>
            <w:vAlign w:val="center"/>
          </w:tcPr>
          <w:p w14:paraId="18586C08" w14:textId="77777777" w:rsidR="00F91250" w:rsidRPr="0033055B" w:rsidRDefault="00F91250" w:rsidP="00F91250">
            <w:pPr>
              <w:spacing w:after="0"/>
              <w:rPr>
                <w:rFonts w:cstheme="minorHAnsi"/>
              </w:rPr>
            </w:pPr>
            <w:r>
              <w:t>Themelimi i Agjencive Rajonale të Energjisë</w:t>
            </w:r>
          </w:p>
        </w:tc>
        <w:tc>
          <w:tcPr>
            <w:tcW w:w="770" w:type="pct"/>
            <w:vAlign w:val="center"/>
          </w:tcPr>
          <w:p w14:paraId="1335320C" w14:textId="77777777" w:rsidR="00F91250" w:rsidRPr="0033055B" w:rsidRDefault="00F91250" w:rsidP="00F91250">
            <w:pPr>
              <w:spacing w:after="0"/>
              <w:jc w:val="center"/>
              <w:rPr>
                <w:rFonts w:cstheme="minorHAnsi"/>
              </w:rPr>
            </w:pPr>
            <w:r>
              <w:t>Rregullatore</w:t>
            </w:r>
          </w:p>
        </w:tc>
        <w:tc>
          <w:tcPr>
            <w:tcW w:w="1128" w:type="pct"/>
            <w:vAlign w:val="center"/>
          </w:tcPr>
          <w:p w14:paraId="7ACDA03E" w14:textId="77777777" w:rsidR="00F91250" w:rsidRPr="0033055B" w:rsidRDefault="0002757F" w:rsidP="00F91250">
            <w:pPr>
              <w:autoSpaceDE w:val="0"/>
              <w:autoSpaceDN w:val="0"/>
              <w:adjustRightInd w:val="0"/>
              <w:spacing w:after="0" w:line="240" w:lineRule="auto"/>
              <w:rPr>
                <w:rFonts w:cstheme="minorHAnsi"/>
              </w:rPr>
            </w:pPr>
            <w:r>
              <w:t>Mbështetje për komunat dhe ndërtuesit me projekte BRE</w:t>
            </w:r>
          </w:p>
        </w:tc>
        <w:tc>
          <w:tcPr>
            <w:tcW w:w="745" w:type="pct"/>
            <w:vAlign w:val="center"/>
          </w:tcPr>
          <w:p w14:paraId="3D8958F8" w14:textId="77777777" w:rsidR="00F91250" w:rsidRPr="0033055B" w:rsidRDefault="0002757F" w:rsidP="00F91250">
            <w:pPr>
              <w:autoSpaceDE w:val="0"/>
              <w:autoSpaceDN w:val="0"/>
              <w:adjustRightInd w:val="0"/>
              <w:spacing w:after="0" w:line="240" w:lineRule="auto"/>
              <w:rPr>
                <w:rFonts w:cstheme="minorHAnsi"/>
              </w:rPr>
            </w:pPr>
            <w:r>
              <w:t>Autoritetet qendrore dhe komunale, si dhe palë të tjera</w:t>
            </w:r>
          </w:p>
        </w:tc>
        <w:tc>
          <w:tcPr>
            <w:tcW w:w="627" w:type="pct"/>
            <w:vAlign w:val="center"/>
          </w:tcPr>
          <w:p w14:paraId="5926F20B" w14:textId="77777777" w:rsidR="00F91250" w:rsidRPr="0033055B" w:rsidRDefault="007F56F6" w:rsidP="00F91250">
            <w:pPr>
              <w:spacing w:after="0"/>
              <w:jc w:val="center"/>
              <w:rPr>
                <w:rFonts w:cstheme="minorHAnsi"/>
              </w:rPr>
            </w:pPr>
            <w:r>
              <w:t>2018</w:t>
            </w:r>
          </w:p>
        </w:tc>
      </w:tr>
      <w:tr w:rsidR="003B21AC" w:rsidRPr="0033055B" w14:paraId="241C09EE" w14:textId="77777777" w:rsidTr="00A83AC7">
        <w:trPr>
          <w:trHeight w:val="550"/>
          <w:jc w:val="center"/>
        </w:trPr>
        <w:tc>
          <w:tcPr>
            <w:tcW w:w="245" w:type="pct"/>
            <w:vAlign w:val="center"/>
          </w:tcPr>
          <w:p w14:paraId="5E6C29C8" w14:textId="6098209F" w:rsidR="003B21AC" w:rsidRPr="0033055B" w:rsidRDefault="00846A0A" w:rsidP="00736191">
            <w:pPr>
              <w:autoSpaceDE w:val="0"/>
              <w:autoSpaceDN w:val="0"/>
              <w:adjustRightInd w:val="0"/>
              <w:spacing w:after="0" w:line="240" w:lineRule="auto"/>
              <w:jc w:val="both"/>
              <w:rPr>
                <w:rFonts w:cstheme="minorHAnsi"/>
              </w:rPr>
            </w:pPr>
            <w:r>
              <w:t>4</w:t>
            </w:r>
          </w:p>
        </w:tc>
        <w:tc>
          <w:tcPr>
            <w:tcW w:w="1485" w:type="pct"/>
            <w:vAlign w:val="center"/>
          </w:tcPr>
          <w:p w14:paraId="768BB35F" w14:textId="730E0031" w:rsidR="003B21AC" w:rsidRPr="0033055B" w:rsidRDefault="003B21AC" w:rsidP="00736191">
            <w:pPr>
              <w:spacing w:after="0"/>
              <w:rPr>
                <w:rFonts w:cstheme="minorHAnsi"/>
              </w:rPr>
            </w:pPr>
            <w:r>
              <w:t xml:space="preserve">Instrumenti Financues për Ekonominë e Gjelbër </w:t>
            </w:r>
            <w:r w:rsidRPr="00DE55E2">
              <w:rPr>
                <w:color w:val="C00000"/>
              </w:rPr>
              <w:t xml:space="preserve">(GEEF) </w:t>
            </w:r>
            <w:r>
              <w:t>për Ballkanin Perëndimor, përfshirë Kosovën</w:t>
            </w:r>
          </w:p>
        </w:tc>
        <w:tc>
          <w:tcPr>
            <w:tcW w:w="770" w:type="pct"/>
            <w:vAlign w:val="center"/>
          </w:tcPr>
          <w:p w14:paraId="686D3BEB" w14:textId="5BE727FA" w:rsidR="003B21AC" w:rsidRPr="0033055B" w:rsidRDefault="003B21AC" w:rsidP="00A62216">
            <w:pPr>
              <w:jc w:val="center"/>
            </w:pPr>
            <w:r>
              <w:t>Financiare</w:t>
            </w:r>
          </w:p>
        </w:tc>
        <w:tc>
          <w:tcPr>
            <w:tcW w:w="1128" w:type="pct"/>
            <w:vAlign w:val="center"/>
          </w:tcPr>
          <w:p w14:paraId="41A0A2AD" w14:textId="260C70AC" w:rsidR="003B21AC" w:rsidRPr="0033055B" w:rsidRDefault="003B21AC" w:rsidP="00736191">
            <w:pPr>
              <w:autoSpaceDE w:val="0"/>
              <w:autoSpaceDN w:val="0"/>
              <w:adjustRightInd w:val="0"/>
              <w:spacing w:after="0" w:line="240" w:lineRule="auto"/>
              <w:rPr>
                <w:rFonts w:cstheme="minorHAnsi"/>
              </w:rPr>
            </w:pPr>
            <w:r>
              <w:t>Financimi i pajisjeve shtëpiake, përfshirë BRE</w:t>
            </w:r>
          </w:p>
        </w:tc>
        <w:tc>
          <w:tcPr>
            <w:tcW w:w="745" w:type="pct"/>
            <w:vAlign w:val="center"/>
          </w:tcPr>
          <w:p w14:paraId="4A8DADCC" w14:textId="5234EF38" w:rsidR="003B21AC" w:rsidRPr="0033055B" w:rsidRDefault="003B21AC" w:rsidP="00736191">
            <w:pPr>
              <w:autoSpaceDE w:val="0"/>
              <w:autoSpaceDN w:val="0"/>
              <w:adjustRightInd w:val="0"/>
              <w:spacing w:after="0" w:line="240" w:lineRule="auto"/>
              <w:rPr>
                <w:rFonts w:cstheme="minorHAnsi"/>
              </w:rPr>
            </w:pPr>
            <w:r>
              <w:t xml:space="preserve">Amvisëritë  </w:t>
            </w:r>
          </w:p>
        </w:tc>
        <w:tc>
          <w:tcPr>
            <w:tcW w:w="627" w:type="pct"/>
            <w:vAlign w:val="center"/>
          </w:tcPr>
          <w:p w14:paraId="38515AFA" w14:textId="4EB2B078" w:rsidR="003B21AC" w:rsidRPr="0033055B" w:rsidRDefault="003B21AC" w:rsidP="00F91250">
            <w:pPr>
              <w:spacing w:after="0"/>
              <w:jc w:val="center"/>
              <w:rPr>
                <w:rFonts w:cstheme="minorHAnsi"/>
              </w:rPr>
            </w:pPr>
            <w:r>
              <w:t>2017-2021</w:t>
            </w:r>
          </w:p>
        </w:tc>
      </w:tr>
    </w:tbl>
    <w:p w14:paraId="5BECD19F" w14:textId="77777777" w:rsidR="008A2451" w:rsidRPr="0033055B" w:rsidRDefault="008A2451" w:rsidP="00EF44A9">
      <w:pPr>
        <w:spacing w:before="120" w:after="120" w:line="240" w:lineRule="auto"/>
        <w:jc w:val="both"/>
        <w:rPr>
          <w:rFonts w:cstheme="minorHAnsi"/>
          <w:lang w:val="en-GB"/>
        </w:rPr>
      </w:pPr>
    </w:p>
    <w:p w14:paraId="2732980E" w14:textId="0007728C" w:rsidR="005E4A0E" w:rsidRPr="0033055B" w:rsidRDefault="005E4A0E" w:rsidP="00B973C7">
      <w:pPr>
        <w:pStyle w:val="Heading2"/>
      </w:pPr>
      <w:bookmarkStart w:id="27" w:name="_Toc518377684"/>
      <w:r>
        <w:t>4.2. Masat specifike për përmbushjen e kërkesave sipas neneve 13, 14, 16 si dhe neneve 17 deri në 21 të Direktivës 2009/28/</w:t>
      </w:r>
      <w:bookmarkEnd w:id="27"/>
      <w:r w:rsidR="00ED480C">
        <w:rPr>
          <w:color w:val="C00000"/>
        </w:rPr>
        <w:t>KE</w:t>
      </w:r>
    </w:p>
    <w:p w14:paraId="5B001C03" w14:textId="77777777" w:rsidR="005E4A0E" w:rsidRPr="0033055B" w:rsidRDefault="005E4A0E" w:rsidP="00455E08">
      <w:pPr>
        <w:spacing w:before="240" w:after="240" w:line="240" w:lineRule="auto"/>
        <w:jc w:val="both"/>
        <w:rPr>
          <w:rFonts w:cstheme="minorHAnsi"/>
          <w:i/>
        </w:rPr>
      </w:pPr>
      <w:r>
        <w:rPr>
          <w:i/>
        </w:rPr>
        <w:t xml:space="preserve">4.2.1. Procedurat administrative dhe planifikimi hapësinor (neni 13(1) i Direktivës 2009/28/EC) </w:t>
      </w:r>
    </w:p>
    <w:p w14:paraId="2E3F9182" w14:textId="77777777" w:rsidR="00330D46" w:rsidRPr="0033055B" w:rsidRDefault="00330D46" w:rsidP="00330D46">
      <w:pPr>
        <w:spacing w:before="120" w:after="120" w:line="240" w:lineRule="auto"/>
        <w:jc w:val="both"/>
        <w:rPr>
          <w:rFonts w:cstheme="minorHAnsi"/>
        </w:rPr>
      </w:pPr>
      <w:r>
        <w:t>a) Legjislacioni ekzistues në lidhje me procedurat për autorizimin, certifikimin, licencimin dhe planifikimin hapësinor, që vlen për impiantet dhe rrjetin e infratrukturës përkatëse të transmisionit dhe distribucionit përfshin si vijon:</w:t>
      </w:r>
    </w:p>
    <w:p w14:paraId="57BDE9B6" w14:textId="77777777" w:rsidR="00330D46" w:rsidRPr="0033055B" w:rsidRDefault="00330D46" w:rsidP="00AB4A2D">
      <w:pPr>
        <w:pStyle w:val="ListParagraph"/>
        <w:numPr>
          <w:ilvl w:val="0"/>
          <w:numId w:val="7"/>
        </w:numPr>
        <w:spacing w:before="120"/>
        <w:rPr>
          <w:rFonts w:ascii="Calibri" w:hAnsi="Calibri" w:cs="Calibri"/>
          <w:szCs w:val="22"/>
        </w:rPr>
      </w:pPr>
      <w:r>
        <w:rPr>
          <w:rFonts w:ascii="Calibri" w:hAnsi="Calibri"/>
          <w:szCs w:val="22"/>
        </w:rPr>
        <w:t>Ligji nr. 05/L-084 për Rregullatorin e Energjisë (GZ/Nr. 25 / 14 Korrik 2016).</w:t>
      </w:r>
    </w:p>
    <w:p w14:paraId="2BBBE1E1" w14:textId="77777777" w:rsidR="00330D46" w:rsidRPr="0033055B" w:rsidRDefault="00330D46" w:rsidP="00AB4A2D">
      <w:pPr>
        <w:pStyle w:val="ListParagraph"/>
        <w:numPr>
          <w:ilvl w:val="0"/>
          <w:numId w:val="7"/>
        </w:numPr>
        <w:spacing w:before="120"/>
        <w:rPr>
          <w:rFonts w:ascii="Calibri" w:hAnsi="Calibri" w:cs="Calibri"/>
          <w:szCs w:val="22"/>
        </w:rPr>
      </w:pPr>
      <w:r>
        <w:rPr>
          <w:rFonts w:ascii="Calibri" w:hAnsi="Calibri"/>
          <w:szCs w:val="22"/>
        </w:rPr>
        <w:t>Ligji nr. 05/L-081 për Energjinë (GZ/Nr. 24 / 13 Korrik 2016).</w:t>
      </w:r>
    </w:p>
    <w:p w14:paraId="61D54AC1" w14:textId="77777777" w:rsidR="00330D46" w:rsidRPr="0033055B" w:rsidRDefault="00330D46" w:rsidP="00762DAA">
      <w:pPr>
        <w:pStyle w:val="ListParagraph"/>
        <w:numPr>
          <w:ilvl w:val="0"/>
          <w:numId w:val="7"/>
        </w:numPr>
        <w:spacing w:before="120"/>
        <w:rPr>
          <w:rFonts w:ascii="Calibri" w:hAnsi="Calibri" w:cs="Calibri"/>
          <w:szCs w:val="22"/>
        </w:rPr>
      </w:pPr>
      <w:r>
        <w:rPr>
          <w:rFonts w:ascii="Calibri" w:hAnsi="Calibri"/>
          <w:szCs w:val="22"/>
        </w:rPr>
        <w:t>Ligji nr. 05/L-085 për Energjinë elektrike (GZ/Nr. 26 / 21 Korrik 2016).</w:t>
      </w:r>
    </w:p>
    <w:p w14:paraId="4EA1BC08" w14:textId="77777777" w:rsidR="00794550" w:rsidRPr="0033055B" w:rsidRDefault="00794550" w:rsidP="00AB4A2D">
      <w:pPr>
        <w:pStyle w:val="ListParagraph"/>
        <w:numPr>
          <w:ilvl w:val="0"/>
          <w:numId w:val="7"/>
        </w:numPr>
        <w:spacing w:before="120"/>
        <w:rPr>
          <w:rFonts w:ascii="Calibri" w:hAnsi="Calibri" w:cs="Calibri"/>
          <w:szCs w:val="22"/>
        </w:rPr>
      </w:pPr>
      <w:r>
        <w:rPr>
          <w:rFonts w:ascii="Calibri" w:hAnsi="Calibri"/>
          <w:szCs w:val="22"/>
        </w:rPr>
        <w:t>Ligji nr. 05/L-052 për Energjinë termike (GZ/Nr. 40/31 dhjetor 2015).</w:t>
      </w:r>
    </w:p>
    <w:p w14:paraId="2DB76AA8" w14:textId="77777777" w:rsidR="00330D46" w:rsidRPr="0033055B" w:rsidRDefault="00330D46" w:rsidP="00AB4A2D">
      <w:pPr>
        <w:pStyle w:val="ListParagraph"/>
        <w:numPr>
          <w:ilvl w:val="0"/>
          <w:numId w:val="7"/>
        </w:numPr>
        <w:spacing w:before="120"/>
        <w:rPr>
          <w:rFonts w:ascii="Calibri" w:hAnsi="Calibri" w:cs="Calibri"/>
          <w:szCs w:val="22"/>
        </w:rPr>
      </w:pPr>
      <w:r>
        <w:rPr>
          <w:rFonts w:ascii="Calibri" w:hAnsi="Calibri"/>
          <w:szCs w:val="22"/>
        </w:rPr>
        <w:t>Rregulli për mbështetjen e energjisë elektrike për të cilën është nxjerrë Certifikata e Origjinës dhe Procedurat e pranimit në skemën e mbështetjes, miratuar në dhjetor të vitit 2010 (ZRRE).</w:t>
      </w:r>
    </w:p>
    <w:p w14:paraId="70836A26" w14:textId="77777777" w:rsidR="00330D46" w:rsidRPr="0033055B" w:rsidRDefault="00330D46" w:rsidP="00AB4A2D">
      <w:pPr>
        <w:pStyle w:val="ListParagraph"/>
        <w:numPr>
          <w:ilvl w:val="0"/>
          <w:numId w:val="7"/>
        </w:numPr>
        <w:spacing w:before="120"/>
        <w:rPr>
          <w:rFonts w:ascii="Calibri" w:hAnsi="Calibri" w:cs="Calibri"/>
          <w:szCs w:val="22"/>
        </w:rPr>
      </w:pPr>
      <w:r>
        <w:rPr>
          <w:rFonts w:ascii="Calibri" w:hAnsi="Calibri"/>
          <w:szCs w:val="22"/>
        </w:rPr>
        <w:t>Rregulli për licencimin e veprimtarive të energjisë në Kosovë, miratuar në mars të vitit 2017 (ZRRE).</w:t>
      </w:r>
    </w:p>
    <w:p w14:paraId="7C8C19B4" w14:textId="77777777" w:rsidR="00330D46" w:rsidRPr="0033055B" w:rsidRDefault="00647614" w:rsidP="00AB4A2D">
      <w:pPr>
        <w:pStyle w:val="ListParagraph"/>
        <w:numPr>
          <w:ilvl w:val="0"/>
          <w:numId w:val="7"/>
        </w:numPr>
        <w:spacing w:before="120"/>
        <w:rPr>
          <w:rFonts w:ascii="Calibri" w:hAnsi="Calibri" w:cs="Calibri"/>
          <w:szCs w:val="22"/>
        </w:rPr>
      </w:pPr>
      <w:r>
        <w:rPr>
          <w:rFonts w:ascii="Calibri" w:hAnsi="Calibri"/>
          <w:szCs w:val="22"/>
        </w:rPr>
        <w:t>Rregulli për të ardhurat maksimale të lejuara të Operatorit të Sistemit të Transmisionit dhe Operatorit të Tregut, miratuar në mars të vitit 2017 (Rregulli për Çmimet e OST/OT)..</w:t>
      </w:r>
    </w:p>
    <w:p w14:paraId="25C30FCB" w14:textId="77777777" w:rsidR="00137EA8" w:rsidRPr="0033055B" w:rsidRDefault="00137EA8" w:rsidP="00137EA8">
      <w:pPr>
        <w:pStyle w:val="ListParagraph"/>
        <w:numPr>
          <w:ilvl w:val="0"/>
          <w:numId w:val="7"/>
        </w:numPr>
        <w:spacing w:before="120"/>
        <w:rPr>
          <w:rFonts w:ascii="Calibri" w:hAnsi="Calibri" w:cs="Calibri"/>
          <w:szCs w:val="22"/>
        </w:rPr>
      </w:pPr>
      <w:r>
        <w:rPr>
          <w:rFonts w:ascii="Calibri" w:hAnsi="Calibri"/>
          <w:szCs w:val="22"/>
        </w:rPr>
        <w:t>Rregulli për të ardhurat maksimale të lejuara të Operatorit të Sistemit të Distribucionit, miratuar në mars të vitit 2017 (Rregulli për të Ardhurat e OSD-së)</w:t>
      </w:r>
    </w:p>
    <w:p w14:paraId="4741ACE5" w14:textId="77777777" w:rsidR="00976539" w:rsidRPr="0033055B" w:rsidRDefault="00976539" w:rsidP="00AB4A2D">
      <w:pPr>
        <w:pStyle w:val="ListParagraph"/>
        <w:numPr>
          <w:ilvl w:val="0"/>
          <w:numId w:val="7"/>
        </w:numPr>
        <w:spacing w:before="120"/>
        <w:rPr>
          <w:rFonts w:ascii="Calibri" w:hAnsi="Calibri" w:cs="Calibri"/>
          <w:szCs w:val="22"/>
        </w:rPr>
      </w:pPr>
      <w:r>
        <w:rPr>
          <w:rFonts w:ascii="Calibri" w:hAnsi="Calibri"/>
          <w:szCs w:val="22"/>
        </w:rPr>
        <w:t>Rregulli për themelimin e sistemit të certifikatave të prejardhjes për energjinë elektrike të prodhuar nga burimet e ripërtërishme të energjisë, mbeturinave dhe ko-gjenerimit, kombinuar me ngrohje në një njësi të vetme të gjenerimit, miratuar në dhjetor 2010 (ZRRE).</w:t>
      </w:r>
    </w:p>
    <w:p w14:paraId="3D92B857" w14:textId="6C6DDA5F" w:rsidR="004D3F1C" w:rsidRPr="0033055B" w:rsidRDefault="004D3F1C" w:rsidP="00AB4A2D">
      <w:pPr>
        <w:pStyle w:val="ListParagraph"/>
        <w:numPr>
          <w:ilvl w:val="0"/>
          <w:numId w:val="7"/>
        </w:numPr>
        <w:spacing w:before="120"/>
        <w:rPr>
          <w:rFonts w:ascii="Calibri" w:hAnsi="Calibri" w:cs="Calibri"/>
          <w:szCs w:val="22"/>
        </w:rPr>
      </w:pPr>
      <w:r>
        <w:rPr>
          <w:rFonts w:ascii="Calibri" w:hAnsi="Calibri"/>
          <w:szCs w:val="22"/>
        </w:rPr>
        <w:t xml:space="preserve">Rregulli për Skemën Mbështetëse për gjeneratorët me </w:t>
      </w:r>
      <w:r w:rsidR="0093664F" w:rsidRPr="0093664F">
        <w:rPr>
          <w:rFonts w:ascii="Calibri" w:hAnsi="Calibri"/>
          <w:szCs w:val="22"/>
        </w:rPr>
        <w:t>burime të ripërtërishme energjisë</w:t>
      </w:r>
      <w:r w:rsidRPr="0093664F">
        <w:rPr>
          <w:rFonts w:ascii="Calibri" w:hAnsi="Calibri"/>
          <w:szCs w:val="22"/>
        </w:rPr>
        <w:t xml:space="preserve">, </w:t>
      </w:r>
      <w:r>
        <w:rPr>
          <w:rFonts w:ascii="Calibri" w:hAnsi="Calibri"/>
          <w:szCs w:val="22"/>
        </w:rPr>
        <w:t>miratuar në prill 2017 (ZRRE).</w:t>
      </w:r>
    </w:p>
    <w:p w14:paraId="40B6B1B4" w14:textId="77777777" w:rsidR="004A40EF" w:rsidRPr="0033055B" w:rsidRDefault="004A40EF" w:rsidP="004A40EF">
      <w:pPr>
        <w:pStyle w:val="ListParagraph"/>
        <w:numPr>
          <w:ilvl w:val="0"/>
          <w:numId w:val="7"/>
        </w:numPr>
        <w:spacing w:before="120"/>
        <w:rPr>
          <w:rFonts w:ascii="Calibri" w:hAnsi="Calibri" w:cs="Calibri"/>
          <w:szCs w:val="22"/>
        </w:rPr>
      </w:pPr>
      <w:r>
        <w:rPr>
          <w:rFonts w:ascii="Calibri" w:hAnsi="Calibri"/>
          <w:szCs w:val="22"/>
        </w:rPr>
        <w:t>Rregulli për procedurën e autorizimit për ndërtimin e kapaciteteve të reja nga burimet e ripërtërishme të energjisë, miratuar në prill të vitit 2017 (ZRRE).</w:t>
      </w:r>
    </w:p>
    <w:p w14:paraId="3BCC26E6" w14:textId="77777777" w:rsidR="00330D46" w:rsidRPr="0033055B" w:rsidRDefault="00330D46" w:rsidP="00AB4A2D">
      <w:pPr>
        <w:pStyle w:val="ListParagraph"/>
        <w:numPr>
          <w:ilvl w:val="0"/>
          <w:numId w:val="7"/>
        </w:numPr>
        <w:spacing w:before="120"/>
        <w:rPr>
          <w:rFonts w:ascii="Calibri" w:hAnsi="Calibri" w:cs="Calibri"/>
          <w:szCs w:val="22"/>
        </w:rPr>
      </w:pPr>
      <w:r>
        <w:rPr>
          <w:rFonts w:ascii="Calibri" w:hAnsi="Calibri"/>
          <w:szCs w:val="22"/>
        </w:rPr>
        <w:t>Ligji nr. 04/L-147 për Ujërat e Kosovës, (GZ/Nr. 10/29 prill 2013).</w:t>
      </w:r>
    </w:p>
    <w:p w14:paraId="21FD1D99" w14:textId="77777777" w:rsidR="00330D46" w:rsidRPr="0033055B" w:rsidRDefault="00330D46" w:rsidP="00AB4A2D">
      <w:pPr>
        <w:pStyle w:val="ListParagraph"/>
        <w:numPr>
          <w:ilvl w:val="0"/>
          <w:numId w:val="7"/>
        </w:numPr>
        <w:spacing w:before="120"/>
        <w:rPr>
          <w:rFonts w:ascii="Calibri" w:hAnsi="Calibri" w:cs="Calibri"/>
          <w:szCs w:val="22"/>
        </w:rPr>
      </w:pPr>
      <w:r>
        <w:rPr>
          <w:rFonts w:ascii="Calibri" w:hAnsi="Calibri"/>
          <w:szCs w:val="22"/>
        </w:rPr>
        <w:t>Ligji nr. 04/L-144 për Dhënien në shfrytëzim dhe këmbimin e pronës së paluajtshme të komunave (GZ nr. 35/17 dhjetor 2012).</w:t>
      </w:r>
    </w:p>
    <w:p w14:paraId="06653A79" w14:textId="77777777" w:rsidR="00330D46" w:rsidRPr="0033055B" w:rsidRDefault="00330D46" w:rsidP="00AB4A2D">
      <w:pPr>
        <w:pStyle w:val="ListParagraph"/>
        <w:numPr>
          <w:ilvl w:val="0"/>
          <w:numId w:val="7"/>
        </w:numPr>
        <w:spacing w:before="120"/>
        <w:rPr>
          <w:rFonts w:ascii="Calibri" w:hAnsi="Calibri" w:cs="Calibri"/>
          <w:szCs w:val="22"/>
        </w:rPr>
      </w:pPr>
      <w:r>
        <w:rPr>
          <w:rFonts w:ascii="Calibri" w:hAnsi="Calibri"/>
          <w:szCs w:val="22"/>
        </w:rPr>
        <w:t>Ligji nr. 04/L-110 për Ndërtimin (GZ/Nr. 18/03 korrik 2013).</w:t>
      </w:r>
    </w:p>
    <w:p w14:paraId="7480D6CC" w14:textId="77777777" w:rsidR="00330D46" w:rsidRPr="0033055B" w:rsidRDefault="00330D46" w:rsidP="00AB4A2D">
      <w:pPr>
        <w:pStyle w:val="ListParagraph"/>
        <w:numPr>
          <w:ilvl w:val="0"/>
          <w:numId w:val="7"/>
        </w:numPr>
        <w:spacing w:before="120"/>
        <w:rPr>
          <w:rFonts w:ascii="Calibri" w:hAnsi="Calibri" w:cs="Calibri"/>
          <w:szCs w:val="22"/>
        </w:rPr>
      </w:pPr>
      <w:r>
        <w:rPr>
          <w:rFonts w:ascii="Calibri" w:hAnsi="Calibri"/>
          <w:szCs w:val="22"/>
        </w:rPr>
        <w:t>Ligji nr. 03/L- për Vlerësimin e Ndikimit në Mjedis (GZ/Nr. 83/29 tetor 2010).</w:t>
      </w:r>
    </w:p>
    <w:p w14:paraId="0DBD3BB6" w14:textId="77777777" w:rsidR="00330D46" w:rsidRPr="0033055B" w:rsidRDefault="00330D46" w:rsidP="00AB4A2D">
      <w:pPr>
        <w:pStyle w:val="ListParagraph"/>
        <w:numPr>
          <w:ilvl w:val="0"/>
          <w:numId w:val="7"/>
        </w:numPr>
        <w:spacing w:before="120"/>
        <w:rPr>
          <w:rFonts w:ascii="Calibri" w:hAnsi="Calibri" w:cs="Calibri"/>
          <w:szCs w:val="22"/>
        </w:rPr>
      </w:pPr>
      <w:r>
        <w:rPr>
          <w:rFonts w:ascii="Calibri" w:hAnsi="Calibri"/>
          <w:szCs w:val="22"/>
        </w:rPr>
        <w:t>Ligji nr. 03/L-025 për Mbrojtjen e Mjedisit (GZ/Nr. 06 prill 2009).</w:t>
      </w:r>
    </w:p>
    <w:p w14:paraId="2FA8624D" w14:textId="77777777" w:rsidR="00976539" w:rsidRPr="0033055B" w:rsidRDefault="00976539" w:rsidP="00AB4A2D">
      <w:pPr>
        <w:pStyle w:val="ListParagraph"/>
        <w:numPr>
          <w:ilvl w:val="0"/>
          <w:numId w:val="7"/>
        </w:numPr>
        <w:spacing w:before="120"/>
        <w:rPr>
          <w:rFonts w:ascii="Calibri" w:hAnsi="Calibri" w:cs="Calibri"/>
          <w:szCs w:val="22"/>
        </w:rPr>
      </w:pPr>
      <w:r>
        <w:rPr>
          <w:rFonts w:ascii="Calibri" w:hAnsi="Calibri"/>
          <w:szCs w:val="22"/>
        </w:rPr>
        <w:t>Ligji nr. 04/L-060 për Mbeturinat (GZ/Nr. 17/29 qershor 2012).</w:t>
      </w:r>
    </w:p>
    <w:p w14:paraId="69CFEBC0" w14:textId="69F1A9D0" w:rsidR="00330D46" w:rsidRPr="0033055B" w:rsidRDefault="00330D46" w:rsidP="00AB4A2D">
      <w:pPr>
        <w:pStyle w:val="ListParagraph"/>
        <w:numPr>
          <w:ilvl w:val="0"/>
          <w:numId w:val="7"/>
        </w:numPr>
        <w:spacing w:before="120"/>
        <w:rPr>
          <w:rFonts w:ascii="Calibri" w:hAnsi="Calibri" w:cs="Calibri"/>
          <w:szCs w:val="22"/>
        </w:rPr>
      </w:pPr>
      <w:r>
        <w:rPr>
          <w:rFonts w:ascii="Calibri" w:hAnsi="Calibri"/>
          <w:szCs w:val="22"/>
        </w:rPr>
        <w:t>Ligji nr. 03/L-153 për Pyjet e Kosovës (GZ/Nr. 34/25 shkurt 2010).</w:t>
      </w:r>
    </w:p>
    <w:p w14:paraId="68942566" w14:textId="77777777" w:rsidR="00330D46" w:rsidRPr="0033055B" w:rsidRDefault="00330D46" w:rsidP="00AB4A2D">
      <w:pPr>
        <w:pStyle w:val="ListParagraph"/>
        <w:numPr>
          <w:ilvl w:val="0"/>
          <w:numId w:val="7"/>
        </w:numPr>
        <w:spacing w:before="120"/>
        <w:rPr>
          <w:rFonts w:ascii="Calibri" w:hAnsi="Calibri" w:cs="Calibri"/>
          <w:szCs w:val="22"/>
        </w:rPr>
      </w:pPr>
      <w:r>
        <w:rPr>
          <w:rFonts w:ascii="Calibri" w:hAnsi="Calibri"/>
          <w:szCs w:val="22"/>
        </w:rPr>
        <w:t>Ligji nr. 03/L-043 për Parandalimin dhe kontrollimin e integruar të ndotjes (GZ/Nr. 52 08 maj 2009).</w:t>
      </w:r>
    </w:p>
    <w:p w14:paraId="166BB58A" w14:textId="77777777" w:rsidR="00330D46" w:rsidRPr="0033055B" w:rsidRDefault="00330D46" w:rsidP="00AB4A2D">
      <w:pPr>
        <w:pStyle w:val="ListParagraph"/>
        <w:numPr>
          <w:ilvl w:val="0"/>
          <w:numId w:val="7"/>
        </w:numPr>
        <w:spacing w:before="120"/>
        <w:rPr>
          <w:rFonts w:ascii="Calibri" w:hAnsi="Calibri" w:cs="Calibri"/>
          <w:szCs w:val="22"/>
        </w:rPr>
      </w:pPr>
      <w:r>
        <w:rPr>
          <w:rFonts w:ascii="Calibri" w:hAnsi="Calibri"/>
          <w:szCs w:val="22"/>
        </w:rPr>
        <w:t>Udhëzimi Administrativ Nr. 7/2017 për Lejet mjedisore.</w:t>
      </w:r>
    </w:p>
    <w:p w14:paraId="3D202FCC" w14:textId="7D803F30" w:rsidR="00D02375" w:rsidRPr="0033055B" w:rsidRDefault="00D02375" w:rsidP="00AB4A2D">
      <w:pPr>
        <w:pStyle w:val="ListParagraph"/>
        <w:numPr>
          <w:ilvl w:val="0"/>
          <w:numId w:val="7"/>
        </w:numPr>
        <w:spacing w:before="120"/>
        <w:rPr>
          <w:rFonts w:ascii="Calibri" w:hAnsi="Calibri" w:cs="Calibri"/>
          <w:szCs w:val="22"/>
        </w:rPr>
      </w:pPr>
      <w:r>
        <w:rPr>
          <w:rFonts w:ascii="Calibri" w:hAnsi="Calibri"/>
          <w:szCs w:val="22"/>
        </w:rPr>
        <w:t>Udhëzimi Administrativ nr. 01/2017 për lëshimin e lejeve mjedisore komunale.</w:t>
      </w:r>
    </w:p>
    <w:p w14:paraId="16D67596" w14:textId="77777777" w:rsidR="00330D46" w:rsidRPr="0033055B" w:rsidRDefault="00330D46" w:rsidP="00AB4A2D">
      <w:pPr>
        <w:pStyle w:val="ListParagraph"/>
        <w:numPr>
          <w:ilvl w:val="0"/>
          <w:numId w:val="7"/>
        </w:numPr>
        <w:spacing w:before="120"/>
        <w:rPr>
          <w:rFonts w:ascii="Calibri" w:hAnsi="Calibri" w:cs="Calibri"/>
          <w:szCs w:val="22"/>
        </w:rPr>
      </w:pPr>
      <w:r>
        <w:rPr>
          <w:rFonts w:ascii="Calibri" w:hAnsi="Calibri"/>
          <w:szCs w:val="22"/>
        </w:rPr>
        <w:t>Kodi i Rrjetit.</w:t>
      </w:r>
    </w:p>
    <w:p w14:paraId="3C69B21E" w14:textId="77777777" w:rsidR="00330D46" w:rsidRPr="0033055B" w:rsidRDefault="00330D46" w:rsidP="00AB4A2D">
      <w:pPr>
        <w:pStyle w:val="ListParagraph"/>
        <w:numPr>
          <w:ilvl w:val="0"/>
          <w:numId w:val="7"/>
        </w:numPr>
        <w:spacing w:before="120"/>
        <w:rPr>
          <w:rFonts w:ascii="Calibri" w:hAnsi="Calibri" w:cs="Calibri"/>
          <w:szCs w:val="22"/>
        </w:rPr>
      </w:pPr>
      <w:r>
        <w:rPr>
          <w:rFonts w:ascii="Calibri" w:hAnsi="Calibri"/>
          <w:szCs w:val="22"/>
        </w:rPr>
        <w:t>Metodologjia e Tarifave të Kyçjes në Transmision/  KOSTT.</w:t>
      </w:r>
    </w:p>
    <w:p w14:paraId="3DE2EC56" w14:textId="77777777" w:rsidR="00330D46" w:rsidRPr="0033055B" w:rsidRDefault="00330D46" w:rsidP="00AB4A2D">
      <w:pPr>
        <w:pStyle w:val="ListParagraph"/>
        <w:numPr>
          <w:ilvl w:val="0"/>
          <w:numId w:val="7"/>
        </w:numPr>
        <w:spacing w:before="120"/>
        <w:rPr>
          <w:rFonts w:ascii="Calibri" w:hAnsi="Calibri" w:cs="Calibri"/>
          <w:szCs w:val="22"/>
        </w:rPr>
      </w:pPr>
      <w:r>
        <w:rPr>
          <w:rFonts w:ascii="Calibri" w:hAnsi="Calibri"/>
          <w:szCs w:val="22"/>
        </w:rPr>
        <w:t>Metodologjia e Tarifave të Kyçjes në Distribucion/  KEK.</w:t>
      </w:r>
    </w:p>
    <w:p w14:paraId="45916500" w14:textId="77777777" w:rsidR="00330D46" w:rsidRPr="0033055B" w:rsidRDefault="00330D46" w:rsidP="00AB4A2D">
      <w:pPr>
        <w:pStyle w:val="ListParagraph"/>
        <w:numPr>
          <w:ilvl w:val="0"/>
          <w:numId w:val="7"/>
        </w:numPr>
        <w:spacing w:before="120"/>
        <w:rPr>
          <w:rFonts w:ascii="Calibri" w:hAnsi="Calibri" w:cs="Calibri"/>
          <w:szCs w:val="22"/>
        </w:rPr>
      </w:pPr>
      <w:r>
        <w:rPr>
          <w:rFonts w:ascii="Calibri" w:hAnsi="Calibri"/>
          <w:szCs w:val="22"/>
        </w:rPr>
        <w:t>Rregullat teknike për kyçje.</w:t>
      </w:r>
    </w:p>
    <w:p w14:paraId="75DC8EF5" w14:textId="5AE4CF49" w:rsidR="008A2451" w:rsidRPr="0033055B" w:rsidRDefault="00672EA7" w:rsidP="008A2451">
      <w:pPr>
        <w:pStyle w:val="ListParagraph"/>
        <w:numPr>
          <w:ilvl w:val="0"/>
          <w:numId w:val="7"/>
        </w:numPr>
        <w:spacing w:before="120"/>
        <w:rPr>
          <w:rFonts w:ascii="Calibri" w:hAnsi="Calibri" w:cs="Calibri"/>
          <w:szCs w:val="22"/>
        </w:rPr>
      </w:pPr>
      <w:r>
        <w:rPr>
          <w:rFonts w:ascii="Calibri" w:hAnsi="Calibri"/>
          <w:szCs w:val="22"/>
        </w:rPr>
        <w:t>Rregullorja (GRK) nr. 05/2018 për one stop shop për burimet e ripërtërishme të energjisë.</w:t>
      </w:r>
    </w:p>
    <w:p w14:paraId="296544AB" w14:textId="77777777" w:rsidR="00441E4E" w:rsidRPr="0033055B" w:rsidRDefault="00441E4E" w:rsidP="00441E4E">
      <w:pPr>
        <w:pStyle w:val="ListParagraph"/>
        <w:numPr>
          <w:ilvl w:val="0"/>
          <w:numId w:val="7"/>
        </w:numPr>
        <w:spacing w:before="120"/>
        <w:rPr>
          <w:rFonts w:ascii="Calibri" w:hAnsi="Calibri" w:cs="Calibri"/>
          <w:szCs w:val="22"/>
        </w:rPr>
      </w:pPr>
      <w:r>
        <w:rPr>
          <w:rFonts w:ascii="Calibri" w:hAnsi="Calibri"/>
          <w:szCs w:val="22"/>
        </w:rPr>
        <w:t>Udhëzimi Administrativ për shfrytëzimin dhe mbështetjen e gjenerimit të energjisë nga burimet e ripërtërishme nr. 06/2017.</w:t>
      </w:r>
    </w:p>
    <w:p w14:paraId="2D080ABF" w14:textId="77777777" w:rsidR="00934310" w:rsidRPr="0033055B" w:rsidRDefault="00934310" w:rsidP="00934310">
      <w:pPr>
        <w:pStyle w:val="ListParagraph"/>
        <w:numPr>
          <w:ilvl w:val="0"/>
          <w:numId w:val="7"/>
        </w:numPr>
        <w:spacing w:before="120"/>
        <w:rPr>
          <w:rFonts w:ascii="Calibri" w:hAnsi="Calibri" w:cs="Calibri"/>
          <w:szCs w:val="22"/>
        </w:rPr>
      </w:pPr>
      <w:r>
        <w:rPr>
          <w:rFonts w:ascii="Calibri" w:hAnsi="Calibri"/>
          <w:szCs w:val="22"/>
        </w:rPr>
        <w:t>Udhëzimi Administrativ për caqet e energjisë nga burimet e ripërtërishme të energjisë nr. 05/2017.</w:t>
      </w:r>
    </w:p>
    <w:p w14:paraId="289104D3" w14:textId="77777777" w:rsidR="009E4F27" w:rsidRPr="0033055B" w:rsidRDefault="009E4F27" w:rsidP="00330D46">
      <w:pPr>
        <w:spacing w:before="120" w:after="120" w:line="240" w:lineRule="auto"/>
        <w:jc w:val="both"/>
        <w:rPr>
          <w:rFonts w:cstheme="minorHAnsi"/>
          <w:lang w:val="en-GB"/>
        </w:rPr>
      </w:pPr>
    </w:p>
    <w:p w14:paraId="5E72D869" w14:textId="77777777" w:rsidR="00AD397D" w:rsidRPr="0033055B" w:rsidRDefault="00330D46" w:rsidP="00330D46">
      <w:pPr>
        <w:spacing w:before="120" w:after="120" w:line="240" w:lineRule="auto"/>
        <w:jc w:val="both"/>
        <w:rPr>
          <w:rFonts w:cstheme="minorHAnsi"/>
        </w:rPr>
      </w:pPr>
      <w:r>
        <w:t xml:space="preserve">b) Institucionet përgjegjëse dhe kompetencat e tyre në këtë sferë: </w:t>
      </w:r>
    </w:p>
    <w:p w14:paraId="76E5121A" w14:textId="77777777" w:rsidR="00330D46" w:rsidRPr="0033055B" w:rsidRDefault="00330D46" w:rsidP="00330D46">
      <w:pPr>
        <w:spacing w:before="120" w:after="120" w:line="240" w:lineRule="auto"/>
        <w:jc w:val="both"/>
        <w:rPr>
          <w:rFonts w:cstheme="minorHAnsi"/>
          <w:b/>
        </w:rPr>
      </w:pPr>
      <w:r>
        <w:rPr>
          <w:b/>
        </w:rPr>
        <w:t>Ministria e Zhvillimit Ekonomik (MZHE)</w:t>
      </w:r>
    </w:p>
    <w:p w14:paraId="4CF4671B" w14:textId="5BCBC2CC" w:rsidR="00330D46" w:rsidRPr="0033055B" w:rsidRDefault="00330D46" w:rsidP="00330D46">
      <w:pPr>
        <w:spacing w:before="120" w:after="120" w:line="240" w:lineRule="auto"/>
        <w:jc w:val="both"/>
        <w:rPr>
          <w:rFonts w:cstheme="minorHAnsi"/>
        </w:rPr>
      </w:pPr>
      <w:r>
        <w:t>MZHE-ja është përgjegjëse për hartimin dhe zbatimin e politikave që inkurajojnë rritjen dhe bashkëpunimin ekonomik, zhvillimin e biznesit dhe ato që sigurojnë konkurrencën dhe zhvillimin e që</w:t>
      </w:r>
      <w:r w:rsidR="0093664F">
        <w:t>ndrueshëm të sektorit të energjisë</w:t>
      </w:r>
      <w:r>
        <w:t xml:space="preserve"> dhe të minierave.  </w:t>
      </w:r>
    </w:p>
    <w:p w14:paraId="572453CB" w14:textId="2B5089FA" w:rsidR="00330D46" w:rsidRPr="0033055B" w:rsidRDefault="00330D46" w:rsidP="00330D46">
      <w:pPr>
        <w:spacing w:before="120" w:after="120" w:line="240" w:lineRule="auto"/>
        <w:jc w:val="both"/>
        <w:rPr>
          <w:rFonts w:cstheme="minorHAnsi"/>
        </w:rPr>
      </w:pPr>
      <w:r>
        <w:t>Në kuadër të strukturës organizative të Ministrisë, departamenti përgjegjës është Departamenti i Energjisë (DE),</w:t>
      </w:r>
      <w:r w:rsidR="0093664F">
        <w:t xml:space="preserve"> më saktë Divizioni </w:t>
      </w:r>
      <w:r>
        <w:t>që merret me BRE, efiçiencë energjetike dhe ko-gjenerim.</w:t>
      </w:r>
    </w:p>
    <w:p w14:paraId="27AF7C8C" w14:textId="77777777" w:rsidR="00330D46" w:rsidRPr="0033055B" w:rsidRDefault="00330D46" w:rsidP="00330D46">
      <w:pPr>
        <w:spacing w:before="120" w:after="120" w:line="240" w:lineRule="auto"/>
        <w:jc w:val="both"/>
        <w:rPr>
          <w:rFonts w:cstheme="minorHAnsi"/>
        </w:rPr>
      </w:pPr>
      <w:r>
        <w:t>Përgjegjësitë kryesore të këtij divizioni janë:</w:t>
      </w:r>
    </w:p>
    <w:p w14:paraId="1249CC9F" w14:textId="77777777" w:rsidR="00330D46" w:rsidRPr="0033055B" w:rsidRDefault="00330D46" w:rsidP="00AB4A2D">
      <w:pPr>
        <w:pStyle w:val="ListParagraph"/>
        <w:numPr>
          <w:ilvl w:val="0"/>
          <w:numId w:val="8"/>
        </w:numPr>
        <w:spacing w:before="120"/>
        <w:rPr>
          <w:rFonts w:asciiTheme="minorHAnsi" w:hAnsiTheme="minorHAnsi" w:cstheme="minorHAnsi"/>
        </w:rPr>
      </w:pPr>
      <w:r>
        <w:rPr>
          <w:rFonts w:asciiTheme="minorHAnsi" w:hAnsiTheme="minorHAnsi"/>
        </w:rPr>
        <w:t xml:space="preserve">Propozimi, hartimi dhe sigurimi i zbatimit të dokumenteve të politikave dhe strategjive në fushën e BRE-ve, efiçiencës së energjisë dhe ko-gjenerimit. </w:t>
      </w:r>
    </w:p>
    <w:p w14:paraId="343BA75C" w14:textId="77777777" w:rsidR="00330D46" w:rsidRPr="0033055B" w:rsidRDefault="00330D46" w:rsidP="00AB4A2D">
      <w:pPr>
        <w:pStyle w:val="ListParagraph"/>
        <w:numPr>
          <w:ilvl w:val="0"/>
          <w:numId w:val="8"/>
        </w:numPr>
        <w:spacing w:before="120"/>
        <w:rPr>
          <w:rFonts w:asciiTheme="minorHAnsi" w:hAnsiTheme="minorHAnsi" w:cstheme="minorHAnsi"/>
        </w:rPr>
      </w:pPr>
      <w:r>
        <w:rPr>
          <w:rFonts w:asciiTheme="minorHAnsi" w:hAnsiTheme="minorHAnsi"/>
        </w:rPr>
        <w:t xml:space="preserve">Propozimi, hartimi dhe sigurimi i zbatimit të legjislacionit në fuqi në fushën e BRE-ve, EE-së dhe ko-gjenerimit. </w:t>
      </w:r>
    </w:p>
    <w:p w14:paraId="6F9045B7" w14:textId="77777777" w:rsidR="00330D46" w:rsidRPr="0033055B" w:rsidRDefault="00330D46" w:rsidP="00AB4A2D">
      <w:pPr>
        <w:pStyle w:val="ListParagraph"/>
        <w:numPr>
          <w:ilvl w:val="0"/>
          <w:numId w:val="8"/>
        </w:numPr>
        <w:spacing w:before="120"/>
        <w:rPr>
          <w:rFonts w:asciiTheme="minorHAnsi" w:hAnsiTheme="minorHAnsi" w:cstheme="minorHAnsi"/>
        </w:rPr>
      </w:pPr>
      <w:r>
        <w:rPr>
          <w:rFonts w:asciiTheme="minorHAnsi" w:hAnsiTheme="minorHAnsi"/>
        </w:rPr>
        <w:t xml:space="preserve">Monitorimi dhe hartimi i raporteve për zbatimin e dokumenteve të politikave dhe strategjive në fushën e burimeve të ripërtërishme, efiçiencës së energjisë dhe ko-gjenerimit. </w:t>
      </w:r>
    </w:p>
    <w:p w14:paraId="0CCF80C2" w14:textId="77777777" w:rsidR="00330D46" w:rsidRPr="0093664F" w:rsidRDefault="00330D46" w:rsidP="00AB4A2D">
      <w:pPr>
        <w:pStyle w:val="ListParagraph"/>
        <w:numPr>
          <w:ilvl w:val="0"/>
          <w:numId w:val="8"/>
        </w:numPr>
        <w:spacing w:before="120"/>
        <w:rPr>
          <w:rFonts w:asciiTheme="minorHAnsi" w:hAnsiTheme="minorHAnsi" w:cstheme="minorHAnsi"/>
        </w:rPr>
      </w:pPr>
      <w:r>
        <w:rPr>
          <w:rFonts w:asciiTheme="minorHAnsi" w:hAnsiTheme="minorHAnsi"/>
        </w:rPr>
        <w:t xml:space="preserve">Koordinimi dhe raportimi mbi procesin e zbatimit të obligimeve që rrjedhin nga zotimet në Traktatin e Energjisë, në lidhje me burimet e ripërtërishme, efiçiencës së energjisë dhe </w:t>
      </w:r>
      <w:r w:rsidRPr="0093664F">
        <w:rPr>
          <w:rFonts w:asciiTheme="minorHAnsi" w:hAnsiTheme="minorHAnsi"/>
        </w:rPr>
        <w:t>ko-gjenerimit.</w:t>
      </w:r>
    </w:p>
    <w:p w14:paraId="38C20946" w14:textId="77777777" w:rsidR="00ED480C" w:rsidRDefault="00ED480C" w:rsidP="00330D46">
      <w:pPr>
        <w:spacing w:before="120" w:after="120" w:line="240" w:lineRule="auto"/>
        <w:jc w:val="both"/>
        <w:rPr>
          <w:b/>
        </w:rPr>
      </w:pPr>
    </w:p>
    <w:p w14:paraId="0F8B4EF2" w14:textId="77777777" w:rsidR="00330D46" w:rsidRPr="0033055B" w:rsidRDefault="00330D46" w:rsidP="00330D46">
      <w:pPr>
        <w:spacing w:before="120" w:after="120" w:line="240" w:lineRule="auto"/>
        <w:jc w:val="both"/>
        <w:rPr>
          <w:rFonts w:cstheme="minorHAnsi"/>
          <w:b/>
        </w:rPr>
      </w:pPr>
      <w:r>
        <w:rPr>
          <w:b/>
        </w:rPr>
        <w:t>Zyra e Rregullatorit të Energjisë (ZRRE)</w:t>
      </w:r>
    </w:p>
    <w:p w14:paraId="6E6063CA" w14:textId="77777777" w:rsidR="00330D46" w:rsidRPr="0033055B" w:rsidRDefault="00330D46" w:rsidP="00AB4A2D">
      <w:pPr>
        <w:pStyle w:val="ListParagraph"/>
        <w:numPr>
          <w:ilvl w:val="0"/>
          <w:numId w:val="9"/>
        </w:numPr>
        <w:spacing w:before="120"/>
        <w:rPr>
          <w:rFonts w:asciiTheme="minorHAnsi" w:hAnsiTheme="minorHAnsi" w:cstheme="minorHAnsi"/>
        </w:rPr>
      </w:pPr>
      <w:r>
        <w:rPr>
          <w:rFonts w:asciiTheme="minorHAnsi" w:hAnsiTheme="minorHAnsi"/>
        </w:rPr>
        <w:t>Autorizon ndërtimin e kapaciteteve të reja gjeneruese (Autorizimi Preliminar, Autorizimi Final).</w:t>
      </w:r>
    </w:p>
    <w:p w14:paraId="02E14056" w14:textId="77777777" w:rsidR="00A967F9" w:rsidRPr="0033055B" w:rsidRDefault="00330D46" w:rsidP="00AB4A2D">
      <w:pPr>
        <w:pStyle w:val="ListParagraph"/>
        <w:numPr>
          <w:ilvl w:val="0"/>
          <w:numId w:val="9"/>
        </w:numPr>
        <w:spacing w:before="120"/>
        <w:rPr>
          <w:rFonts w:asciiTheme="minorHAnsi" w:hAnsiTheme="minorHAnsi" w:cstheme="minorHAnsi"/>
        </w:rPr>
      </w:pPr>
      <w:r>
        <w:rPr>
          <w:rFonts w:asciiTheme="minorHAnsi" w:hAnsiTheme="minorHAnsi"/>
        </w:rPr>
        <w:t>Vendos sistemin tarifor për gjenerimin e energjisë elektrike nga BRE-të.</w:t>
      </w:r>
    </w:p>
    <w:p w14:paraId="166DD1C7" w14:textId="77777777" w:rsidR="00330D46" w:rsidRPr="0033055B" w:rsidRDefault="00330D46" w:rsidP="00AB4A2D">
      <w:pPr>
        <w:pStyle w:val="ListParagraph"/>
        <w:numPr>
          <w:ilvl w:val="0"/>
          <w:numId w:val="9"/>
        </w:numPr>
        <w:spacing w:before="120"/>
        <w:rPr>
          <w:rFonts w:asciiTheme="minorHAnsi" w:hAnsiTheme="minorHAnsi" w:cstheme="minorHAnsi"/>
        </w:rPr>
      </w:pPr>
      <w:r>
        <w:rPr>
          <w:rFonts w:asciiTheme="minorHAnsi" w:hAnsiTheme="minorHAnsi"/>
        </w:rPr>
        <w:t>Përgjegjëse për sistemin e certifikatave të origjinës.</w:t>
      </w:r>
    </w:p>
    <w:p w14:paraId="0E156B0F" w14:textId="77777777" w:rsidR="00330D46" w:rsidRPr="0033055B" w:rsidRDefault="00330D46" w:rsidP="00330D46">
      <w:pPr>
        <w:spacing w:before="120" w:after="120" w:line="240" w:lineRule="auto"/>
        <w:jc w:val="both"/>
        <w:rPr>
          <w:rFonts w:cstheme="minorHAnsi"/>
          <w:b/>
        </w:rPr>
      </w:pPr>
      <w:r>
        <w:rPr>
          <w:b/>
        </w:rPr>
        <w:t>Ministria e Mjedisit dhe Planifikimit Hapësinor (MMPH)</w:t>
      </w:r>
    </w:p>
    <w:p w14:paraId="66B8C58F" w14:textId="77777777" w:rsidR="00330D46" w:rsidRPr="0033055B" w:rsidRDefault="00330D46" w:rsidP="00AB4A2D">
      <w:pPr>
        <w:pStyle w:val="ListParagraph"/>
        <w:numPr>
          <w:ilvl w:val="0"/>
          <w:numId w:val="9"/>
        </w:numPr>
        <w:spacing w:before="120"/>
        <w:rPr>
          <w:rFonts w:asciiTheme="minorHAnsi" w:hAnsiTheme="minorHAnsi" w:cstheme="minorHAnsi"/>
        </w:rPr>
      </w:pPr>
      <w:r>
        <w:rPr>
          <w:rFonts w:asciiTheme="minorHAnsi" w:hAnsiTheme="minorHAnsi"/>
        </w:rPr>
        <w:t>Nxjerr kushtet e ujit, pajtueshmërisë ujore, lejet e ujit dhe urdhrat për ujëra, ose bart procedurën e dhënies së koncesioneve për përdorimin e ujit.</w:t>
      </w:r>
    </w:p>
    <w:p w14:paraId="597FF81B" w14:textId="77777777" w:rsidR="00D30371" w:rsidRPr="0033055B" w:rsidRDefault="00330D46" w:rsidP="00AB4A2D">
      <w:pPr>
        <w:pStyle w:val="ListParagraph"/>
        <w:numPr>
          <w:ilvl w:val="0"/>
          <w:numId w:val="9"/>
        </w:numPr>
        <w:spacing w:before="120"/>
        <w:rPr>
          <w:rFonts w:asciiTheme="minorHAnsi" w:hAnsiTheme="minorHAnsi" w:cstheme="minorHAnsi"/>
        </w:rPr>
      </w:pPr>
      <w:r>
        <w:rPr>
          <w:rFonts w:asciiTheme="minorHAnsi" w:hAnsiTheme="minorHAnsi"/>
        </w:rPr>
        <w:t>Lëshon lejet mjedisore.</w:t>
      </w:r>
    </w:p>
    <w:p w14:paraId="1D5E1900" w14:textId="109EC619" w:rsidR="00330D46" w:rsidRPr="0033055B" w:rsidRDefault="00330D46" w:rsidP="00AB4A2D">
      <w:pPr>
        <w:pStyle w:val="ListParagraph"/>
        <w:numPr>
          <w:ilvl w:val="0"/>
          <w:numId w:val="9"/>
        </w:numPr>
        <w:spacing w:before="120"/>
        <w:rPr>
          <w:rFonts w:asciiTheme="minorHAnsi" w:hAnsiTheme="minorHAnsi" w:cstheme="minorHAnsi"/>
        </w:rPr>
      </w:pPr>
      <w:r>
        <w:rPr>
          <w:rFonts w:asciiTheme="minorHAnsi" w:hAnsiTheme="minorHAnsi"/>
        </w:rPr>
        <w:t>Është përgjegjëse për lëshimin e Lejes së Ndërtimit (për gjeneratorë mbi 10 MW kapacitete të instaluara)</w:t>
      </w:r>
    </w:p>
    <w:p w14:paraId="3DF1CBC6" w14:textId="77777777" w:rsidR="00330D46" w:rsidRPr="0033055B" w:rsidRDefault="00330D46" w:rsidP="00330D46">
      <w:pPr>
        <w:spacing w:before="120" w:after="120" w:line="240" w:lineRule="auto"/>
        <w:jc w:val="both"/>
        <w:rPr>
          <w:rFonts w:cstheme="minorHAnsi"/>
          <w:b/>
        </w:rPr>
      </w:pPr>
      <w:r>
        <w:rPr>
          <w:b/>
        </w:rPr>
        <w:t>Autoritetet komunale</w:t>
      </w:r>
    </w:p>
    <w:p w14:paraId="00233C4E" w14:textId="77777777" w:rsidR="00330D46" w:rsidRPr="0033055B" w:rsidRDefault="00330D46" w:rsidP="00AB4A2D">
      <w:pPr>
        <w:pStyle w:val="ListParagraph"/>
        <w:numPr>
          <w:ilvl w:val="0"/>
          <w:numId w:val="9"/>
        </w:numPr>
        <w:spacing w:before="120"/>
        <w:rPr>
          <w:rFonts w:asciiTheme="minorHAnsi" w:hAnsiTheme="minorHAnsi" w:cstheme="minorHAnsi"/>
        </w:rPr>
      </w:pPr>
      <w:r>
        <w:rPr>
          <w:rFonts w:asciiTheme="minorHAnsi" w:hAnsiTheme="minorHAnsi"/>
        </w:rPr>
        <w:t>Përgjegjëse për dhënien e tokës për përdorim nga projektet BRE.</w:t>
      </w:r>
    </w:p>
    <w:p w14:paraId="62CD39DA" w14:textId="36225B50" w:rsidR="00330D46" w:rsidRPr="0033055B" w:rsidRDefault="00330D46" w:rsidP="00AB4A2D">
      <w:pPr>
        <w:pStyle w:val="ListParagraph"/>
        <w:numPr>
          <w:ilvl w:val="0"/>
          <w:numId w:val="9"/>
        </w:numPr>
        <w:spacing w:before="120"/>
        <w:rPr>
          <w:rFonts w:asciiTheme="minorHAnsi" w:hAnsiTheme="minorHAnsi" w:cstheme="minorHAnsi"/>
        </w:rPr>
      </w:pPr>
      <w:r>
        <w:rPr>
          <w:rFonts w:asciiTheme="minorHAnsi" w:hAnsiTheme="minorHAnsi"/>
        </w:rPr>
        <w:t xml:space="preserve">përgjegjëse për lëshimin e Lejes së Ndërtimit për gjeneratorë nën MW kapacitete të instaluara </w:t>
      </w:r>
    </w:p>
    <w:p w14:paraId="76313EE7" w14:textId="77777777" w:rsidR="00330D46" w:rsidRPr="0033055B" w:rsidRDefault="00330D46" w:rsidP="00330D46">
      <w:pPr>
        <w:spacing w:before="120" w:after="120" w:line="240" w:lineRule="auto"/>
        <w:jc w:val="both"/>
        <w:rPr>
          <w:rFonts w:cstheme="minorHAnsi"/>
          <w:b/>
        </w:rPr>
      </w:pPr>
      <w:r>
        <w:rPr>
          <w:b/>
        </w:rPr>
        <w:t xml:space="preserve">Agjencia Pyjore e Kosovës </w:t>
      </w:r>
    </w:p>
    <w:p w14:paraId="5A4722EC" w14:textId="77777777" w:rsidR="00330D46" w:rsidRPr="0033055B" w:rsidRDefault="00330D46" w:rsidP="00AB4A2D">
      <w:pPr>
        <w:pStyle w:val="ListParagraph"/>
        <w:numPr>
          <w:ilvl w:val="0"/>
          <w:numId w:val="9"/>
        </w:numPr>
        <w:spacing w:before="120"/>
        <w:rPr>
          <w:rFonts w:asciiTheme="minorHAnsi" w:hAnsiTheme="minorHAnsi" w:cstheme="minorHAnsi"/>
        </w:rPr>
      </w:pPr>
      <w:r>
        <w:rPr>
          <w:rFonts w:asciiTheme="minorHAnsi" w:hAnsiTheme="minorHAnsi"/>
        </w:rPr>
        <w:t>Lejet për shfrytëzimin e pyjeve.</w:t>
      </w:r>
    </w:p>
    <w:p w14:paraId="76138D13" w14:textId="77777777" w:rsidR="00330D46" w:rsidRPr="0033055B" w:rsidRDefault="00330D46" w:rsidP="00330D46">
      <w:pPr>
        <w:spacing w:before="120" w:after="120" w:line="240" w:lineRule="auto"/>
        <w:jc w:val="both"/>
        <w:rPr>
          <w:rFonts w:cstheme="minorHAnsi"/>
          <w:b/>
        </w:rPr>
      </w:pPr>
      <w:r>
        <w:rPr>
          <w:b/>
        </w:rPr>
        <w:t>KOSTT</w:t>
      </w:r>
    </w:p>
    <w:p w14:paraId="67180DD5" w14:textId="77777777" w:rsidR="00A9375A" w:rsidRPr="0033055B" w:rsidRDefault="00330D46" w:rsidP="00AB4A2D">
      <w:pPr>
        <w:pStyle w:val="ListParagraph"/>
        <w:numPr>
          <w:ilvl w:val="0"/>
          <w:numId w:val="9"/>
        </w:numPr>
        <w:spacing w:before="120"/>
        <w:rPr>
          <w:rFonts w:asciiTheme="minorHAnsi" w:hAnsiTheme="minorHAnsi" w:cstheme="minorHAnsi"/>
        </w:rPr>
      </w:pPr>
      <w:r>
        <w:rPr>
          <w:rFonts w:asciiTheme="minorHAnsi" w:hAnsiTheme="minorHAnsi"/>
        </w:rPr>
        <w:t>Kyçja në rrjetin e transmisionit; - Operimi i tregut.</w:t>
      </w:r>
    </w:p>
    <w:p w14:paraId="20D78F01" w14:textId="3C050129" w:rsidR="00A9375A" w:rsidRPr="00852A8B" w:rsidRDefault="00EB1E33" w:rsidP="00A9375A">
      <w:pPr>
        <w:pStyle w:val="ListParagraph"/>
        <w:numPr>
          <w:ilvl w:val="0"/>
          <w:numId w:val="9"/>
        </w:numPr>
        <w:spacing w:before="120"/>
        <w:rPr>
          <w:rFonts w:asciiTheme="minorHAnsi" w:hAnsiTheme="minorHAnsi" w:cstheme="minorHAnsi"/>
        </w:rPr>
      </w:pPr>
      <w:r>
        <w:rPr>
          <w:rFonts w:asciiTheme="minorHAnsi" w:hAnsiTheme="minorHAnsi"/>
        </w:rPr>
        <w:t>Balancimi i sistemit përmes mekanizmit të balansimit,</w:t>
      </w:r>
    </w:p>
    <w:p w14:paraId="0895DF0D" w14:textId="77777777" w:rsidR="00A9375A" w:rsidRPr="00852A8B" w:rsidRDefault="00EB1E33" w:rsidP="00A9375A">
      <w:pPr>
        <w:pStyle w:val="ListParagraph"/>
        <w:numPr>
          <w:ilvl w:val="0"/>
          <w:numId w:val="9"/>
        </w:numPr>
        <w:spacing w:before="120"/>
        <w:rPr>
          <w:rFonts w:asciiTheme="minorHAnsi" w:hAnsiTheme="minorHAnsi" w:cstheme="minorHAnsi"/>
        </w:rPr>
      </w:pPr>
      <w:r>
        <w:rPr>
          <w:rFonts w:asciiTheme="minorHAnsi" w:hAnsiTheme="minorHAnsi"/>
        </w:rPr>
        <w:t>Menaxhimi i Fondit për BRE përmes Operatorit të Tregut</w:t>
      </w:r>
    </w:p>
    <w:p w14:paraId="789AA659" w14:textId="77777777" w:rsidR="00A9375A" w:rsidRPr="00852A8B" w:rsidRDefault="00EB1E33" w:rsidP="00A9375A">
      <w:pPr>
        <w:pStyle w:val="ListParagraph"/>
        <w:numPr>
          <w:ilvl w:val="0"/>
          <w:numId w:val="9"/>
        </w:numPr>
        <w:spacing w:before="120"/>
        <w:rPr>
          <w:rFonts w:asciiTheme="minorHAnsi" w:hAnsiTheme="minorHAnsi" w:cstheme="minorHAnsi"/>
        </w:rPr>
      </w:pPr>
      <w:r>
        <w:rPr>
          <w:rFonts w:asciiTheme="minorHAnsi" w:hAnsiTheme="minorHAnsi"/>
        </w:rPr>
        <w:t>Lidhja e Marrëveshjes për Blerjen e Energjisë (MBE) përmes Operatorit të Tregut</w:t>
      </w:r>
    </w:p>
    <w:p w14:paraId="5FECA01D" w14:textId="77777777" w:rsidR="00330D46" w:rsidRPr="00BA6B00" w:rsidRDefault="00330D46" w:rsidP="00B973C7">
      <w:pPr>
        <w:spacing w:before="120"/>
        <w:rPr>
          <w:rFonts w:cstheme="minorHAnsi"/>
          <w:b/>
        </w:rPr>
      </w:pPr>
      <w:r>
        <w:rPr>
          <w:b/>
        </w:rPr>
        <w:t>KEDS</w:t>
      </w:r>
    </w:p>
    <w:p w14:paraId="13C75513" w14:textId="77777777" w:rsidR="00330D46" w:rsidRPr="00BA6B00" w:rsidRDefault="00330D46" w:rsidP="00AB4A2D">
      <w:pPr>
        <w:pStyle w:val="ListParagraph"/>
        <w:numPr>
          <w:ilvl w:val="0"/>
          <w:numId w:val="9"/>
        </w:numPr>
        <w:spacing w:before="120"/>
        <w:rPr>
          <w:rFonts w:asciiTheme="minorHAnsi" w:hAnsiTheme="minorHAnsi" w:cstheme="minorHAnsi"/>
        </w:rPr>
      </w:pPr>
      <w:r>
        <w:rPr>
          <w:rFonts w:asciiTheme="minorHAnsi" w:hAnsiTheme="minorHAnsi"/>
        </w:rPr>
        <w:t>Kyçja në Rrjetin e Distribucionit.</w:t>
      </w:r>
    </w:p>
    <w:p w14:paraId="611779E4" w14:textId="77777777" w:rsidR="001824D6" w:rsidRPr="00BA6B00" w:rsidRDefault="001824D6" w:rsidP="00330D46">
      <w:pPr>
        <w:spacing w:before="120" w:after="120" w:line="240" w:lineRule="auto"/>
        <w:jc w:val="both"/>
        <w:rPr>
          <w:rFonts w:cstheme="minorHAnsi"/>
        </w:rPr>
      </w:pPr>
    </w:p>
    <w:p w14:paraId="5CABFE50" w14:textId="77777777" w:rsidR="00330D46" w:rsidRPr="00BA6B00" w:rsidRDefault="00330D46" w:rsidP="00330D46">
      <w:pPr>
        <w:spacing w:before="120" w:after="120" w:line="240" w:lineRule="auto"/>
        <w:jc w:val="both"/>
        <w:rPr>
          <w:rFonts w:cstheme="minorHAnsi"/>
        </w:rPr>
      </w:pPr>
      <w:r>
        <w:t>Në disa raste, para ndërtimit, nevojiten disa leje ndërtimi, varësisht nga lloji dhe lokacioni i impianteve të BRE-ve:</w:t>
      </w:r>
    </w:p>
    <w:p w14:paraId="4D481EC6" w14:textId="77777777" w:rsidR="00330D46" w:rsidRPr="00BA6B00" w:rsidRDefault="00330D46" w:rsidP="00330D46">
      <w:pPr>
        <w:spacing w:before="120" w:after="120" w:line="240" w:lineRule="auto"/>
        <w:jc w:val="both"/>
        <w:rPr>
          <w:rFonts w:cstheme="minorHAnsi"/>
          <w:b/>
        </w:rPr>
      </w:pPr>
      <w:r>
        <w:rPr>
          <w:b/>
        </w:rPr>
        <w:t xml:space="preserve">Ministria e Infrastrukturës </w:t>
      </w:r>
    </w:p>
    <w:p w14:paraId="62D1785B" w14:textId="77777777" w:rsidR="00330D46" w:rsidRPr="00852A8B" w:rsidRDefault="00EB1E33" w:rsidP="00AB4A2D">
      <w:pPr>
        <w:pStyle w:val="ListParagraph"/>
        <w:numPr>
          <w:ilvl w:val="0"/>
          <w:numId w:val="9"/>
        </w:numPr>
        <w:spacing w:before="120"/>
        <w:rPr>
          <w:rFonts w:asciiTheme="minorHAnsi" w:hAnsiTheme="minorHAnsi" w:cstheme="minorHAnsi"/>
        </w:rPr>
      </w:pPr>
      <w:r>
        <w:rPr>
          <w:rFonts w:asciiTheme="minorHAnsi" w:hAnsiTheme="minorHAnsi"/>
        </w:rPr>
        <w:t xml:space="preserve">Leja për Kyçjen në infrastrukturën ekzistuese rrugore. </w:t>
      </w:r>
    </w:p>
    <w:p w14:paraId="19032084" w14:textId="77777777" w:rsidR="00330D46" w:rsidRPr="00BA6B00" w:rsidRDefault="00330D46" w:rsidP="00330D46">
      <w:pPr>
        <w:spacing w:before="120" w:after="120" w:line="240" w:lineRule="auto"/>
        <w:jc w:val="both"/>
        <w:rPr>
          <w:rFonts w:cstheme="minorHAnsi"/>
          <w:b/>
        </w:rPr>
      </w:pPr>
      <w:r>
        <w:rPr>
          <w:b/>
        </w:rPr>
        <w:t xml:space="preserve">Ministria e Kulturës, Rinisë dhe Sportit </w:t>
      </w:r>
    </w:p>
    <w:p w14:paraId="2803192F" w14:textId="77777777" w:rsidR="00330D46" w:rsidRPr="00852A8B" w:rsidRDefault="00EB1E33" w:rsidP="00AB4A2D">
      <w:pPr>
        <w:pStyle w:val="ListParagraph"/>
        <w:numPr>
          <w:ilvl w:val="0"/>
          <w:numId w:val="9"/>
        </w:numPr>
        <w:spacing w:before="120"/>
        <w:rPr>
          <w:rFonts w:asciiTheme="minorHAnsi" w:hAnsiTheme="minorHAnsi" w:cstheme="minorHAnsi"/>
        </w:rPr>
      </w:pPr>
      <w:r>
        <w:rPr>
          <w:rFonts w:asciiTheme="minorHAnsi" w:hAnsiTheme="minorHAnsi"/>
        </w:rPr>
        <w:t xml:space="preserve">Lejet në rast të zonës së interesit të posaçëm apo zonës arkeologjike. </w:t>
      </w:r>
    </w:p>
    <w:p w14:paraId="19E9E084" w14:textId="77777777" w:rsidR="001824D6" w:rsidRPr="00BA6B00" w:rsidRDefault="001824D6" w:rsidP="00330D46">
      <w:pPr>
        <w:spacing w:before="120" w:after="120" w:line="240" w:lineRule="auto"/>
        <w:jc w:val="both"/>
        <w:rPr>
          <w:rFonts w:cstheme="minorHAnsi"/>
        </w:rPr>
      </w:pPr>
    </w:p>
    <w:p w14:paraId="3C56E386" w14:textId="47286CD9" w:rsidR="00330D46" w:rsidRPr="00BA6B00" w:rsidRDefault="00D7460E" w:rsidP="00330D46">
      <w:pPr>
        <w:spacing w:before="120" w:after="120" w:line="240" w:lineRule="auto"/>
        <w:jc w:val="both"/>
        <w:rPr>
          <w:rFonts w:cstheme="minorHAnsi"/>
        </w:rPr>
      </w:pPr>
      <w:r>
        <w:t>c)</w:t>
      </w:r>
      <w:r>
        <w:tab/>
        <w:t>Mospërputhjet eventuale mes Ligjit nr. 03/L-185 për Rregullatorin e Energjisë, Ligjit nr. 04/L-144 për Dhënien në shfrytëzim dhe këmbimin e pronës së paluajtshme komunale, si dhe Ligjit nr. 04/L-147 për Ujërat, do të analizohen dhe ndryshohen në bashkëpunim me autoritetet e përfshira.</w:t>
      </w:r>
    </w:p>
    <w:p w14:paraId="6C634EAA" w14:textId="77777777" w:rsidR="00330D46" w:rsidRPr="00BA6B00" w:rsidRDefault="00330D46" w:rsidP="00330D46">
      <w:pPr>
        <w:spacing w:before="120" w:after="120" w:line="240" w:lineRule="auto"/>
        <w:jc w:val="both"/>
        <w:rPr>
          <w:rFonts w:cstheme="minorHAnsi"/>
        </w:rPr>
      </w:pPr>
      <w:r>
        <w:t xml:space="preserve">Aktualisht, e drejta për shfrytëzimin e tokës dhe pyjeve mund të jepen për periudha deri në 5 vjet, gjë që nuk përbën garanci të mjaftueshme për investitorë, megjithatë, këto dispozita do të harmonizohen me dispozitat e Ligjit për Rregullatorin e Energjisë. Lejet për shfrytëzimin e ujërave jepen për periudhë 40-vjeçare.  </w:t>
      </w:r>
    </w:p>
    <w:p w14:paraId="38CDB86F" w14:textId="77777777" w:rsidR="00330D46" w:rsidRPr="00BA6B00" w:rsidRDefault="00330D46" w:rsidP="00330D46">
      <w:pPr>
        <w:spacing w:before="120" w:after="120" w:line="240" w:lineRule="auto"/>
        <w:jc w:val="both"/>
        <w:rPr>
          <w:rFonts w:cstheme="minorHAnsi"/>
        </w:rPr>
      </w:pPr>
      <w:r>
        <w:t xml:space="preserve">Ekzistojnë probleme në nivel të autoriteteve lokale, në të cilat komunat nënshkruajnë Memorandume Mirëkuptimi me dy investitorëve mbi përdorimin e tokës, derisa sipas Ligjit nr. 04/L-147 për dhënien në shfrytëzim dhe këmbimin e pronës së paluajtshme komunale, kjo kompetencë mbahet nga Kuvendi Komunal. Në rastet e tilla, problemi i pajtueshmërisë ligjore në nivel autoritetesh lokale duhet shmangur. </w:t>
      </w:r>
    </w:p>
    <w:p w14:paraId="47294AB9" w14:textId="77777777" w:rsidR="00330D46" w:rsidRPr="00BA6B00" w:rsidRDefault="00330D46" w:rsidP="00330D46">
      <w:pPr>
        <w:spacing w:before="120" w:after="120" w:line="240" w:lineRule="auto"/>
        <w:jc w:val="both"/>
        <w:rPr>
          <w:rFonts w:cstheme="minorHAnsi"/>
        </w:rPr>
      </w:pPr>
      <w:r>
        <w:t xml:space="preserve">Komunat duhet të kenë plane urbane dhe rregulluese (me detaje mbi kushtet e ndërtimit për lokacionet e vogla) si dhe nëse kërkesa nga investitori është në përputhje me atë plan, komunat lejojnë ndërtimin. Edhe pse shumica e komunave kanë plane urbane, mikro-planifikimi ende mungon në masë të madhe. Periudha e përgjigjes është caktuar në 30 ditë, si dhe nëse komuna nuk përgjigjet brenda atij afati, investitori lejohet të fillojë ndërtimin sikur të ishte dhënë leja e ndërtimit. Synimi i kësaj dispozite të ligjit ka qenë zvogëlimi i kohës dhe korrupsionit në sektor, por pasi që komunat nuk kanë kapacitete, këto dispozita mund të bëhen kundër-produktive. </w:t>
      </w:r>
    </w:p>
    <w:p w14:paraId="1624713A" w14:textId="77777777" w:rsidR="00330D46" w:rsidRPr="00BA6B00" w:rsidRDefault="00330D46" w:rsidP="00330D46">
      <w:pPr>
        <w:spacing w:before="120" w:after="120" w:line="240" w:lineRule="auto"/>
        <w:jc w:val="both"/>
        <w:rPr>
          <w:rFonts w:cstheme="minorHAnsi"/>
        </w:rPr>
      </w:pPr>
    </w:p>
    <w:p w14:paraId="0F1885A1" w14:textId="77777777" w:rsidR="00330D46" w:rsidRPr="00BA6B00" w:rsidRDefault="003C07A3" w:rsidP="00330D46">
      <w:pPr>
        <w:spacing w:before="120" w:after="120" w:line="240" w:lineRule="auto"/>
        <w:jc w:val="both"/>
        <w:rPr>
          <w:rFonts w:cstheme="minorHAnsi"/>
        </w:rPr>
      </w:pPr>
      <w:r>
        <w:t>d)</w:t>
      </w:r>
      <w:r>
        <w:tab/>
        <w:t xml:space="preserve">Zyra e Rregullatorit të Energjisë është përgjegjëse për lëshimin e autorizimeve për ndërtimin e kapaciteteve të reja gjeneruese. Ndërmjet Autorizimit Preliminar dhe Autorizimit (final) nga ZRRE-ja, procedura përfshin institucionet tjera të lartpërmendura (pika b) shtetërore e lokale. Pas lëshimit të autorizimit, mund të fillojë ndërtimi i impiantit. </w:t>
      </w:r>
    </w:p>
    <w:p w14:paraId="3ACB36DF" w14:textId="733BDF7D" w:rsidR="00330D46" w:rsidRPr="00BA6B00" w:rsidRDefault="00330D46" w:rsidP="00330D46">
      <w:pPr>
        <w:spacing w:before="120" w:after="120" w:line="240" w:lineRule="auto"/>
        <w:jc w:val="both"/>
        <w:rPr>
          <w:rFonts w:cstheme="minorHAnsi"/>
        </w:rPr>
      </w:pPr>
      <w:r>
        <w:t>Koordinimi më i mirë ndërmjet institucioneve të niveleve të ndryshme për projektet BRE do të arrihet përmes harmonizimit të ligjeve dhe procedurave përkatëse, siç ndodh me funksionimin e One Stop Shop-eve (OSS). Krijimi i OSS-ve është arritur me Rregulloren nr. 05/2018 për One Stop Shop për burimet e ripërtërishme të energjisë. OSS-të do të kontribuojnë në koordinimin e harmonizimin mes të gjitha autoriteteve përgjegjëse, ashtu që të paraqitet si proces koheziv.</w:t>
      </w:r>
    </w:p>
    <w:p w14:paraId="2104EA7F" w14:textId="77777777" w:rsidR="009E4F27" w:rsidRPr="00BA6B00" w:rsidRDefault="009E4F27" w:rsidP="00330D46">
      <w:pPr>
        <w:spacing w:before="120" w:after="120" w:line="240" w:lineRule="auto"/>
        <w:jc w:val="both"/>
        <w:rPr>
          <w:rFonts w:cstheme="minorHAnsi"/>
        </w:rPr>
      </w:pPr>
    </w:p>
    <w:p w14:paraId="54A4C9AD" w14:textId="77777777" w:rsidR="00330D46" w:rsidRPr="00BA6B00" w:rsidRDefault="003C07A3" w:rsidP="00330D46">
      <w:pPr>
        <w:spacing w:before="120" w:after="120" w:line="240" w:lineRule="auto"/>
        <w:jc w:val="both"/>
        <w:rPr>
          <w:rFonts w:cstheme="minorHAnsi"/>
        </w:rPr>
      </w:pPr>
      <w:r>
        <w:t>e)</w:t>
      </w:r>
      <w:r>
        <w:tab/>
        <w:t xml:space="preserve">Përkrahja për aplikuesit për autorizime, certifikim e licencim ofrohet tek faqja e internetit e ZRRE-së. Faqja e internetit e ZRRE-së ofron informata për aplikues dhe për autorizimet paraprake të nxjerra dhe autorizimet finale për projektet e energjisë nga BRE-të. </w:t>
      </w:r>
    </w:p>
    <w:p w14:paraId="50D9CCE3" w14:textId="77777777" w:rsidR="009E4F27" w:rsidRPr="00BA6B00" w:rsidRDefault="009E4F27" w:rsidP="00330D46">
      <w:pPr>
        <w:spacing w:before="120" w:after="120" w:line="240" w:lineRule="auto"/>
        <w:jc w:val="both"/>
        <w:rPr>
          <w:rFonts w:cstheme="minorHAnsi"/>
        </w:rPr>
      </w:pPr>
    </w:p>
    <w:p w14:paraId="4E95EE8A" w14:textId="77777777" w:rsidR="00330D46" w:rsidRPr="00BA6B00" w:rsidRDefault="003C07A3" w:rsidP="00330D46">
      <w:pPr>
        <w:spacing w:before="120" w:after="120" w:line="240" w:lineRule="auto"/>
        <w:jc w:val="both"/>
        <w:rPr>
          <w:rFonts w:cstheme="minorHAnsi"/>
        </w:rPr>
      </w:pPr>
      <w:r>
        <w:t>f)</w:t>
      </w:r>
      <w:r>
        <w:tab/>
        <w:t xml:space="preserve">Koordinimi horizontal ndërmjet organeve të ndryshme qeveritare/administrative lidhur me procedurën e zhvillimit të projekteve të energjisë nga BRE bëhet si në vijim:  </w:t>
      </w:r>
    </w:p>
    <w:p w14:paraId="68ED084F" w14:textId="77777777" w:rsidR="00330D46" w:rsidRPr="00BA6B00" w:rsidRDefault="00330D46" w:rsidP="00330D46">
      <w:pPr>
        <w:spacing w:before="120" w:after="120" w:line="240" w:lineRule="auto"/>
        <w:jc w:val="both"/>
        <w:rPr>
          <w:rFonts w:cstheme="minorHAnsi"/>
        </w:rPr>
      </w:pPr>
      <w:r>
        <w:t xml:space="preserve">Procedura e dhënies së autorizimit fillohet me dorëzimin e aplikimit me dëshmitë dhe dokumentacionin e nevojshëm. ZRRE-ja është përgjegjëse për shqyrtimin fillestar të aplikimit dhe komunikimin me aplikuesin deri në kompletimin e dëshmive dhe dokumentacionit. Pas kësaj, Grupi Punues i ZRRE-së shqyrton aplikacionin dhe bën vlerësimin përfundimtar. Kur Grupi Punues konsideron aplikacionin e plotë, ai paraqitet në mbledhjen vijuese të Bordit për vendim. I njëjti proces vlen për autorizimin e parë preliminar, si dhe për autorizimin përfundimtar. </w:t>
      </w:r>
    </w:p>
    <w:p w14:paraId="6864B948" w14:textId="77777777" w:rsidR="00330D46" w:rsidRPr="00BA6B00" w:rsidRDefault="00330D46" w:rsidP="00330D46">
      <w:pPr>
        <w:spacing w:before="120" w:after="120" w:line="240" w:lineRule="auto"/>
        <w:jc w:val="both"/>
        <w:rPr>
          <w:rFonts w:cstheme="minorHAnsi"/>
        </w:rPr>
      </w:pPr>
      <w:r>
        <w:t xml:space="preserve">Për secilin projekt, hapi i parë përfshin aplikimin në MMPH për leje mjedisore. Procedura për shqyrtimin dhe përgjigjen ndaj aplikimeve të tilla përbën 70 ditë nga data e aplikimit.  </w:t>
      </w:r>
    </w:p>
    <w:p w14:paraId="7B24DF49" w14:textId="77777777" w:rsidR="00330D46" w:rsidRPr="00BA6B00" w:rsidRDefault="00330D46" w:rsidP="00330D46">
      <w:pPr>
        <w:spacing w:before="120" w:after="120" w:line="240" w:lineRule="auto"/>
        <w:jc w:val="both"/>
        <w:rPr>
          <w:rFonts w:cstheme="minorHAnsi"/>
        </w:rPr>
      </w:pPr>
      <w:r>
        <w:t xml:space="preserve">Pas ndërtimit të impiantit, varësisht nga kapaciteti, subjekti juridik aplikon në MMPH për të marrë Lejen Mjedisore, si dhe për kapacitete më të mëdha, Leje të Integruar Mjedisore.  </w:t>
      </w:r>
    </w:p>
    <w:p w14:paraId="5096F572" w14:textId="77777777" w:rsidR="00330D46" w:rsidRPr="00BA6B00" w:rsidRDefault="00330D46" w:rsidP="00330D46">
      <w:pPr>
        <w:spacing w:before="120" w:after="120" w:line="240" w:lineRule="auto"/>
        <w:jc w:val="both"/>
        <w:rPr>
          <w:rFonts w:cstheme="minorHAnsi"/>
        </w:rPr>
      </w:pPr>
      <w:r>
        <w:t>Sa i përket shfrytëzimit të burimeve ujore, Ligji i ri është miratuar dhe ka zëvendësuar Lejen Ujore me një procedurë autorizimi me tre hapa. Në hapin e parë pas dhënies së autorizimit preliminar nga ZRRE-ja, investitori aplikon për kushtet ujore, të cilat përshkruajnë llojet e dokumenteve që nevojiten për hapin vijues.</w:t>
      </w:r>
    </w:p>
    <w:p w14:paraId="4A52EF0E" w14:textId="77777777" w:rsidR="00330D46" w:rsidRPr="00BA6B00" w:rsidRDefault="00330D46" w:rsidP="00330D46">
      <w:pPr>
        <w:spacing w:before="120" w:after="120" w:line="240" w:lineRule="auto"/>
        <w:jc w:val="both"/>
        <w:rPr>
          <w:rFonts w:cstheme="minorHAnsi"/>
        </w:rPr>
      </w:pPr>
      <w:r>
        <w:t xml:space="preserve">Sapo të jetë gati dokumentacioni, si dhe pak para marrjes së lejes së ndërtimit, investitori aplikon për marrjen e lejeve për shfrytëzim të ujit. Pas ndërtimit të hidrocentraleve, si dhe marrjes së lejes për shfrytëzim të ujit, leja mund të mbulojë periudha deri në 40 vjet për qëllime të gjenerimit të energjisë (sipas Udhëzimit Administrativ për administrimin dhe menaxhimin e resurseve ujore në periudhën e vlefshmërisë së lejes ujore).  </w:t>
      </w:r>
    </w:p>
    <w:p w14:paraId="6AA9C15A" w14:textId="73121002" w:rsidR="00330D46" w:rsidRPr="00BA6B00" w:rsidRDefault="00ED480C" w:rsidP="00330D46">
      <w:pPr>
        <w:spacing w:before="120" w:after="120" w:line="240" w:lineRule="auto"/>
        <w:jc w:val="both"/>
        <w:rPr>
          <w:rFonts w:cstheme="minorHAnsi"/>
        </w:rPr>
      </w:pPr>
      <w:r>
        <w:t>ZRRE-</w:t>
      </w:r>
      <w:r w:rsidR="00330D46">
        <w:t>ja zakonisht nxjerr vendimet për fazën e autorizimit brenda 3 muajsh, por, ka raste kur ato vendime nxirren në afate më të shkurtra - që në mbledhjen vijuese të Bordit.</w:t>
      </w:r>
    </w:p>
    <w:p w14:paraId="0D6B8EA9" w14:textId="77777777" w:rsidR="00330D46" w:rsidRPr="00BA6B00" w:rsidRDefault="00330D46" w:rsidP="00330D46">
      <w:pPr>
        <w:spacing w:before="120" w:after="120" w:line="240" w:lineRule="auto"/>
        <w:jc w:val="both"/>
        <w:rPr>
          <w:rFonts w:cstheme="minorHAnsi"/>
        </w:rPr>
      </w:pPr>
      <w:r>
        <w:t xml:space="preserve">Autorizimi preliminar ka afat vlefshmërie prej dy vitesh, si dhe gjatë asaj kohe, të gjitha lejet e domosdoshme për autorizim duhet të sigurohen. Në praktikë është vërtetuar që edhe 18 muaj mjaftojnë për këtë sipërmarrje. </w:t>
      </w:r>
    </w:p>
    <w:p w14:paraId="724CB19F" w14:textId="77777777" w:rsidR="00330D46" w:rsidRPr="00BA6B00" w:rsidRDefault="00330D46" w:rsidP="00330D46">
      <w:pPr>
        <w:spacing w:before="120" w:after="120" w:line="240" w:lineRule="auto"/>
        <w:jc w:val="both"/>
        <w:rPr>
          <w:rFonts w:cstheme="minorHAnsi"/>
        </w:rPr>
      </w:pPr>
      <w:r>
        <w:t xml:space="preserve">Autorizimet Preliminare të lëshuara nga ZRRE-ja konfirmojnë që investitori përmbush kriteret e kualifikimit financiar dhe teknik, si dhe që ka stafin e duhur për të zhvilluar, ndërtuar e menaxhuar impiantin gjenerues (impiantin BRE).  </w:t>
      </w:r>
    </w:p>
    <w:p w14:paraId="034724DD" w14:textId="77777777" w:rsidR="00330D46" w:rsidRPr="00BA6B00" w:rsidRDefault="00330D46" w:rsidP="00330D46">
      <w:pPr>
        <w:spacing w:before="120" w:after="120" w:line="240" w:lineRule="auto"/>
        <w:jc w:val="both"/>
        <w:rPr>
          <w:rFonts w:cstheme="minorHAnsi"/>
        </w:rPr>
      </w:pPr>
      <w:r>
        <w:t xml:space="preserve">Autorizimet Finale të dhëna nga ZRRE hapin rrugën për fillimin e ndërtimit të impiantit, si dhe konfirmojnë që investitorit i janë dhënë të gjitha kontratat dhe lejet e nevojshme (shfrytëzimi i tokës, shfrytëzimi i ujit, kyçja në rrjet, leja mjedisore, leja ndërtimore, etj.) që kërkohen për këto raste. </w:t>
      </w:r>
    </w:p>
    <w:p w14:paraId="5B5DEEC0" w14:textId="77777777" w:rsidR="00330D46" w:rsidRPr="00BA6B00" w:rsidRDefault="00330D46" w:rsidP="00330D46">
      <w:pPr>
        <w:spacing w:before="120" w:after="120" w:line="240" w:lineRule="auto"/>
        <w:jc w:val="both"/>
        <w:rPr>
          <w:rFonts w:cstheme="minorHAnsi"/>
        </w:rPr>
      </w:pPr>
      <w:r>
        <w:t>Informatat mbi procedurat dhe hapat për zhvillimin e impianteve me BRE merren nga ZRRE-ja, megjithatë, ZRRE nuk mund të konsiderohet si one-stop-shop për përkrahjen e investitorëve.</w:t>
      </w:r>
    </w:p>
    <w:p w14:paraId="3D9D2BFF" w14:textId="77777777" w:rsidR="00E06427" w:rsidRPr="00BA6B00" w:rsidRDefault="00E06427" w:rsidP="00E06427">
      <w:pPr>
        <w:spacing w:before="120" w:after="120" w:line="240" w:lineRule="auto"/>
        <w:jc w:val="both"/>
        <w:rPr>
          <w:rFonts w:cstheme="minorHAnsi"/>
        </w:rPr>
      </w:pPr>
      <w:r>
        <w:t xml:space="preserve">Që prej vitit 2010, Zyra e Rregullatorit të Energjisë (ZRRE) aplikon Rregullin për Procedurën e Autorizimit të ndërtimit të kapaciteteve të reja gjeneruese (nga BRE). Ky rregull është ndryshuar e plotësuar në prill të vitit 2017, si dhe vlen për të gjitha teknologjitë BRE. Afati kohor për kompletimin e projekteve BRE është i njëjtë me të gjitha teknologjitë tjera. Periudha për ndërtimin e gjeneratorit me BRE është 2 vjet, si dhe mund të zgjatet për një vit më shumë. Në raste të jashtëzakonshme, periudha për ndërtim mund të zgjatet për 12 muaj plotësues. Rregulli është i ndarë në dy faza. Autorizimi Preliminar dhe Autorizimi Final. </w:t>
      </w:r>
    </w:p>
    <w:p w14:paraId="51ADA3DC" w14:textId="77777777" w:rsidR="00E06427" w:rsidRPr="00BA6B00" w:rsidRDefault="00E06427" w:rsidP="00E06427">
      <w:pPr>
        <w:spacing w:before="120" w:after="120" w:line="240" w:lineRule="auto"/>
        <w:jc w:val="both"/>
        <w:rPr>
          <w:rFonts w:cstheme="minorHAnsi"/>
        </w:rPr>
      </w:pPr>
      <w:r>
        <w:t xml:space="preserve">Afatet kohore përcaktohen nga Rregulli, si dhe janë si vijon: </w:t>
      </w:r>
    </w:p>
    <w:p w14:paraId="0D74210B" w14:textId="7E5CA931" w:rsidR="00E06427" w:rsidRPr="00852A8B" w:rsidRDefault="00EB1E33" w:rsidP="00AB4A2D">
      <w:pPr>
        <w:pStyle w:val="ListParagraph"/>
        <w:numPr>
          <w:ilvl w:val="0"/>
          <w:numId w:val="15"/>
        </w:numPr>
        <w:spacing w:before="120"/>
        <w:rPr>
          <w:rFonts w:asciiTheme="minorHAnsi" w:hAnsiTheme="minorHAnsi" w:cstheme="minorHAnsi"/>
        </w:rPr>
      </w:pPr>
      <w:r>
        <w:rPr>
          <w:rFonts w:asciiTheme="minorHAnsi" w:hAnsiTheme="minorHAnsi"/>
        </w:rPr>
        <w:t>Pasi ZRRE të marrë aplikimin e regjistruar, e shqyrton dhe nëse nuk është i plotë, afati i kompletimit është 60 ditë.</w:t>
      </w:r>
    </w:p>
    <w:p w14:paraId="3B24489C" w14:textId="77777777" w:rsidR="00E06427" w:rsidRPr="00A852A5" w:rsidRDefault="00EB1E33" w:rsidP="00AB4A2D">
      <w:pPr>
        <w:pStyle w:val="ListParagraph"/>
        <w:numPr>
          <w:ilvl w:val="0"/>
          <w:numId w:val="15"/>
        </w:numPr>
        <w:spacing w:before="120"/>
        <w:rPr>
          <w:rFonts w:asciiTheme="minorHAnsi" w:hAnsiTheme="minorHAnsi" w:cstheme="minorHAnsi"/>
        </w:rPr>
      </w:pPr>
      <w:r>
        <w:rPr>
          <w:rFonts w:asciiTheme="minorHAnsi" w:hAnsiTheme="minorHAnsi"/>
          <w:iCs/>
        </w:rPr>
        <w:t xml:space="preserve">Kur ZRRE e konsideron aplikacionin të plotë, duhet të nxjerrë vendim brenda 90 ditësh, si dhe të lëshojë Vendimin për Autorizimin Preliminar. </w:t>
      </w:r>
    </w:p>
    <w:p w14:paraId="7A02698D" w14:textId="77777777" w:rsidR="00E06427" w:rsidRPr="00852A8B" w:rsidRDefault="00EB1E33" w:rsidP="00AB4A2D">
      <w:pPr>
        <w:pStyle w:val="ListParagraph"/>
        <w:numPr>
          <w:ilvl w:val="0"/>
          <w:numId w:val="15"/>
        </w:numPr>
        <w:spacing w:before="120"/>
        <w:rPr>
          <w:rFonts w:asciiTheme="minorHAnsi" w:hAnsiTheme="minorHAnsi" w:cstheme="minorHAnsi"/>
        </w:rPr>
      </w:pPr>
      <w:r>
        <w:rPr>
          <w:rFonts w:asciiTheme="minorHAnsi" w:hAnsiTheme="minorHAnsi"/>
        </w:rPr>
        <w:t>Brenda 1 viti + 6 muajsh zgjatjeje, aplikuesi duhet të sjellë dëshmi për të marrë Autorizimin Final. Ka mundësi që investitori të aplikojë drejtpërdrejt për Autorizimin Final, por kjo ka ndodhur vetëm një herë deri tani.</w:t>
      </w:r>
    </w:p>
    <w:p w14:paraId="4998411B" w14:textId="77777777" w:rsidR="00E06427" w:rsidRPr="00BA6B00" w:rsidRDefault="00E06427" w:rsidP="00E06427">
      <w:pPr>
        <w:spacing w:before="120" w:after="120" w:line="240" w:lineRule="auto"/>
        <w:jc w:val="both"/>
        <w:rPr>
          <w:rFonts w:cstheme="minorHAnsi"/>
        </w:rPr>
      </w:pPr>
      <w:r>
        <w:t>Nuk ka autorizim (leje) automatike. Procesi duhet të shkojë siç është përshkruar më lart (dy faza) si dhe ka edhe hyrje automatike në skemën mbështetëse, si dhe kjo thuhet (përcaktohet) me Vendimin për Autorizimin Preliminar.</w:t>
      </w:r>
    </w:p>
    <w:p w14:paraId="71067E73" w14:textId="77777777" w:rsidR="009E4F27" w:rsidRPr="00BA6B00" w:rsidRDefault="009E4F27" w:rsidP="00330D46">
      <w:pPr>
        <w:spacing w:before="120" w:after="120" w:line="240" w:lineRule="auto"/>
        <w:jc w:val="both"/>
        <w:rPr>
          <w:rFonts w:cstheme="minorHAnsi"/>
        </w:rPr>
      </w:pPr>
    </w:p>
    <w:p w14:paraId="212DF339" w14:textId="77777777" w:rsidR="00330D46" w:rsidRPr="00BA6B00" w:rsidRDefault="00067B51" w:rsidP="00330D46">
      <w:pPr>
        <w:spacing w:before="120" w:after="120" w:line="240" w:lineRule="auto"/>
        <w:jc w:val="both"/>
        <w:rPr>
          <w:rFonts w:cstheme="minorHAnsi"/>
        </w:rPr>
      </w:pPr>
      <w:r>
        <w:t>g)</w:t>
      </w:r>
      <w:r>
        <w:tab/>
        <w:t>Në lidhje me specifikat e ndryshme teknologjike për implementimin e projekteve në sferën e BRE-ve, hapat ndërmjet autorizimit preliminar dhe atij final dallojnë nga lloji i teknologjisë së përdorur, kapaciteti i impiantit dhe lokacioni në të cilin do të zhvillohet projekti. Një shembull i hapave dhe procedurave që duhen ndjekur gjendet në procedurat që ndiqen në projekte që përfshijnë drutë e zjarrit dhe projektet që përdorin ujë.</w:t>
      </w:r>
    </w:p>
    <w:p w14:paraId="7AD8857B" w14:textId="77777777" w:rsidR="009E4F27" w:rsidRPr="00BA6B00" w:rsidRDefault="009E4F27" w:rsidP="00330D46">
      <w:pPr>
        <w:spacing w:before="120" w:after="120" w:line="240" w:lineRule="auto"/>
        <w:jc w:val="both"/>
        <w:rPr>
          <w:rFonts w:cstheme="minorHAnsi"/>
        </w:rPr>
      </w:pPr>
    </w:p>
    <w:p w14:paraId="5F85AD3A" w14:textId="77777777" w:rsidR="00330D46" w:rsidRPr="00BA6B00" w:rsidRDefault="00067B51" w:rsidP="00330D46">
      <w:pPr>
        <w:spacing w:before="120" w:after="120" w:line="240" w:lineRule="auto"/>
        <w:jc w:val="both"/>
        <w:rPr>
          <w:rFonts w:cstheme="minorHAnsi"/>
        </w:rPr>
      </w:pPr>
      <w:r>
        <w:t>h)</w:t>
      </w:r>
      <w:r>
        <w:tab/>
        <w:t xml:space="preserve">në lidhje me procedurat specifike, nuk aplikohen procedura të tilla për stabilimentet e projekteve të vogla dhe gjenerimin e decentralizuar të energjisë nga BRE-të (panelet solare në ndërtesa apo bojlerët me biomasë në ndërtesa).  </w:t>
      </w:r>
    </w:p>
    <w:p w14:paraId="2653797E" w14:textId="77777777" w:rsidR="001707CA" w:rsidRPr="00852A8B" w:rsidRDefault="001707CA" w:rsidP="001707CA">
      <w:pPr>
        <w:spacing w:before="120" w:after="120" w:line="240" w:lineRule="auto"/>
        <w:jc w:val="both"/>
        <w:rPr>
          <w:rFonts w:cstheme="minorHAnsi"/>
        </w:rPr>
      </w:pPr>
      <w:r>
        <w:t>Udhëzimi Administrativ për shfrytëzimin dhe mbështetjen e gjenerimit të energjisë nga burimet e ripërtërishme (nr. 06/2017) parasheh që projektet me kapaciteti deri në 100 kW i nënshtrohen procedurës së thjeshtë të autorizimit që miratohet nga Rregullatori dhe institucionet tjera relevante që merren me lëshimin e lejeve.</w:t>
      </w:r>
    </w:p>
    <w:p w14:paraId="6B688E11" w14:textId="77777777" w:rsidR="00330D46" w:rsidRPr="00BA6B00" w:rsidRDefault="00330D46" w:rsidP="00330D46">
      <w:pPr>
        <w:spacing w:before="120" w:after="120" w:line="240" w:lineRule="auto"/>
        <w:jc w:val="both"/>
        <w:rPr>
          <w:rFonts w:cstheme="minorHAnsi"/>
        </w:rPr>
      </w:pPr>
    </w:p>
    <w:p w14:paraId="251F2454" w14:textId="18A3C89E" w:rsidR="00330D46" w:rsidRPr="00BA6B00" w:rsidRDefault="00067B51" w:rsidP="00330D46">
      <w:pPr>
        <w:spacing w:before="120" w:after="120" w:line="240" w:lineRule="auto"/>
        <w:jc w:val="both"/>
        <w:rPr>
          <w:rFonts w:cstheme="minorHAnsi"/>
        </w:rPr>
      </w:pPr>
      <w:r>
        <w:t>i)</w:t>
      </w:r>
      <w:r>
        <w:tab/>
        <w:t xml:space="preserve">tarifat që i përkasin apikimit për autorizim/licencë/leje për instalimin e kapaciteteve të reja të gjenerimit me Bre publikohen në faqen e internetit të ZRRE-së. Tarifat e tilla lidhen me shpenzimet administrative të dhënies së atyre lejeve.  </w:t>
      </w:r>
    </w:p>
    <w:p w14:paraId="36C171A0" w14:textId="77777777" w:rsidR="009E4F27" w:rsidRPr="00BA6B00" w:rsidRDefault="009E4F27" w:rsidP="00330D46">
      <w:pPr>
        <w:spacing w:before="120" w:after="120" w:line="240" w:lineRule="auto"/>
        <w:jc w:val="both"/>
        <w:rPr>
          <w:rFonts w:cstheme="minorHAnsi"/>
        </w:rPr>
      </w:pPr>
    </w:p>
    <w:p w14:paraId="3630C910" w14:textId="77777777" w:rsidR="00330D46" w:rsidRPr="00BA6B00" w:rsidRDefault="00067B51" w:rsidP="00330D46">
      <w:pPr>
        <w:spacing w:before="120" w:after="120" w:line="240" w:lineRule="auto"/>
        <w:jc w:val="both"/>
        <w:rPr>
          <w:rFonts w:cstheme="minorHAnsi"/>
        </w:rPr>
      </w:pPr>
      <w:r>
        <w:t>j)</w:t>
      </w:r>
      <w:r>
        <w:tab/>
        <w:t xml:space="preserve">Aktualisht nuk ofrohen udhëzime zyrtare për organet lokale dhe rajonale administrative për planifikimin, projektimin, ndërtimin dhe renovimin e zonave industriale dhe banesore për instalimin e pajisjeve dhe sistemeve që përdorin burime të ripërtërishme të energjisë në energji elektrike dhe ngrohje e ftohje, duke përfshirë ngrohjen dhe ftohjen qendrore. Në këtë aspekt, mbështetja për organet lokale dhe rajonale pritet të ofrohet përmes institucioneve të themeluara rishtas, si zyrat komunale/rajonale të energjisë.  </w:t>
      </w:r>
    </w:p>
    <w:p w14:paraId="089E3EA9" w14:textId="77777777" w:rsidR="009E4F27" w:rsidRPr="00BA6B00" w:rsidRDefault="009E4F27" w:rsidP="00330D46">
      <w:pPr>
        <w:spacing w:before="120" w:after="120" w:line="240" w:lineRule="auto"/>
        <w:jc w:val="both"/>
        <w:rPr>
          <w:rFonts w:cstheme="minorHAnsi"/>
        </w:rPr>
      </w:pPr>
    </w:p>
    <w:p w14:paraId="39D696B0" w14:textId="77777777" w:rsidR="00330D46" w:rsidRPr="00BA6B00" w:rsidRDefault="00067B51" w:rsidP="00330D46">
      <w:pPr>
        <w:spacing w:before="120" w:after="120" w:line="240" w:lineRule="auto"/>
        <w:jc w:val="both"/>
        <w:rPr>
          <w:rFonts w:cstheme="minorHAnsi"/>
        </w:rPr>
      </w:pPr>
      <w:r>
        <w:t>k)</w:t>
      </w:r>
      <w:r>
        <w:tab/>
        <w:t xml:space="preserve">Zyrtarët përgjegjës të ZRRE-së që merren me procedurat e lidhura me autorizimin, certifikimin dhe licencimin e instalimit të pajisjeve që përdorin burime të ripërtërishme të energjisë përfitojnë trajnime të kohëpaskohshme që ofrohen në këto çështje. Këta zyrtarë kanë kualifikime të larta universitare në këto sfera.  </w:t>
      </w:r>
    </w:p>
    <w:p w14:paraId="785FA7BD" w14:textId="77777777" w:rsidR="00330D46" w:rsidRPr="00BA6B00" w:rsidRDefault="00330D46" w:rsidP="005E4A0E">
      <w:pPr>
        <w:spacing w:before="120" w:after="120" w:line="240" w:lineRule="auto"/>
        <w:jc w:val="both"/>
        <w:rPr>
          <w:rFonts w:cstheme="minorHAnsi"/>
        </w:rPr>
      </w:pPr>
    </w:p>
    <w:p w14:paraId="08B2FAA5" w14:textId="34725083" w:rsidR="00E06427" w:rsidRPr="00BA6B00" w:rsidRDefault="00067B51" w:rsidP="00E06427">
      <w:pPr>
        <w:spacing w:before="120" w:after="120" w:line="240" w:lineRule="auto"/>
        <w:jc w:val="both"/>
        <w:rPr>
          <w:rFonts w:cstheme="minorHAnsi"/>
        </w:rPr>
      </w:pPr>
      <w:r>
        <w:t>l)</w:t>
      </w:r>
      <w:r>
        <w:tab/>
        <w:t xml:space="preserve">Për të përmirësuar klimën e investimeve për projektet BRE, një grup ndërministror i udhëhequr nga Ministria e Zhvillimit Ekonomik është pajtuar të krijojë një One-Stop-Shop (OSS) për BRE. Krijimi i OSS-ve është arritur me Rregulloren nr. 05/2018 për One Stop Shop për burimet e ripërtërishme të energjisë. Sipas përshkrimit në udhëzim, OSS do të veprojë si ‘zyrë e informimit dhe koordinimit për t’i dhënë aplikuesve potencialë dhe palëve të interesuara informata të azhurnuara e të qarta mbi mënyrën e aplikimit, kriteret e aplikimit, afatet kohore, etj. Koordinimi harmonizohet mes të gjitha autoriteteve ashtu që të paraqitet si proces koheziv. </w:t>
      </w:r>
    </w:p>
    <w:p w14:paraId="5016A5DA" w14:textId="0582FF84" w:rsidR="00CC3C61" w:rsidRPr="00BA6B00" w:rsidRDefault="00CC3C61" w:rsidP="00CC3C61">
      <w:pPr>
        <w:spacing w:before="120" w:after="120" w:line="240" w:lineRule="auto"/>
        <w:jc w:val="both"/>
        <w:rPr>
          <w:rFonts w:cstheme="minorHAnsi"/>
        </w:rPr>
      </w:pPr>
      <w:r>
        <w:t xml:space="preserve">Për më tepër, OSS-ja do të lehtësojë bashkërendimin me institucionet përgjegjëse për projektet e energjisë së ripërtërishme, ashtu që të harmonizojë dhe lehtësojë procedurat administrative për lëshimin e lejeve përkatëse në rastin që ato identifikohen si pengesa për investitorët si palë, ose për palën që ka marrë lejen e autorizimit. Përfundimisht, OSS ka për obligim të ngrejë çështjet e mundshme që bllokojnë zhvillimin e projekteve BRE në nivel ministrash, përmes ministrit, në rast se pengesat eventuale të identifikuara gjatë procesit të lëshimit të lejeve të autorizimit apo lejeve të tjera nuk arrijnë të zgjidhen përmes negociatave me personelin relevant të institucionit përgjegjës. OSS-ja pritet të funksionalizohet më 2018.  </w:t>
      </w:r>
    </w:p>
    <w:p w14:paraId="55463E84" w14:textId="089E05AF" w:rsidR="00E06427" w:rsidRDefault="00E06427" w:rsidP="005E4A0E">
      <w:pPr>
        <w:spacing w:before="120" w:after="120" w:line="240" w:lineRule="auto"/>
        <w:jc w:val="both"/>
        <w:rPr>
          <w:rFonts w:cstheme="minorHAnsi"/>
          <w:highlight w:val="cyan"/>
        </w:rPr>
      </w:pPr>
    </w:p>
    <w:p w14:paraId="314CC77E" w14:textId="77777777" w:rsidR="00CC3C61" w:rsidRPr="00BA6B00" w:rsidRDefault="00CC3C61" w:rsidP="005E4A0E">
      <w:pPr>
        <w:spacing w:before="120" w:after="120" w:line="240" w:lineRule="auto"/>
        <w:jc w:val="both"/>
        <w:rPr>
          <w:rFonts w:cstheme="minorHAnsi"/>
        </w:rPr>
      </w:pPr>
    </w:p>
    <w:p w14:paraId="02D93F19" w14:textId="77777777" w:rsidR="005E4A0E" w:rsidRPr="00BA6B00" w:rsidRDefault="005E4A0E" w:rsidP="00455E08">
      <w:pPr>
        <w:spacing w:before="240" w:after="240" w:line="240" w:lineRule="auto"/>
        <w:jc w:val="both"/>
        <w:rPr>
          <w:rFonts w:cstheme="minorHAnsi"/>
          <w:i/>
        </w:rPr>
      </w:pPr>
      <w:r>
        <w:rPr>
          <w:i/>
        </w:rPr>
        <w:t>4.2.2. Specifikimet teknike (neni 13(2) i Direktivës 2009/28/EC)</w:t>
      </w:r>
    </w:p>
    <w:p w14:paraId="63566032" w14:textId="77777777" w:rsidR="005E4A0E" w:rsidRPr="00BA6B00" w:rsidRDefault="00330D46" w:rsidP="005E4A0E">
      <w:pPr>
        <w:spacing w:before="120" w:after="120" w:line="240" w:lineRule="auto"/>
        <w:jc w:val="both"/>
        <w:rPr>
          <w:rFonts w:cstheme="minorHAnsi"/>
        </w:rPr>
      </w:pPr>
      <w:r>
        <w:t>Specifikimet teknike që duhen plotësuar nga pajisjet dhe sistemet e energjisë së ripërtërishme për të përfituar nga skemat mbështetëse janë paraparë me Udhëzimin Administrativ për shfrytëzimin dhe mbështetjen e gjenerimit të energjisë nga burimet e ripërtërishme (nr. 06/2017).</w:t>
      </w:r>
    </w:p>
    <w:p w14:paraId="03B54E43" w14:textId="77777777" w:rsidR="001707CA" w:rsidRPr="00BA6B00" w:rsidRDefault="001707CA" w:rsidP="001707CA">
      <w:pPr>
        <w:spacing w:before="120" w:after="120" w:line="240" w:lineRule="auto"/>
        <w:jc w:val="both"/>
        <w:rPr>
          <w:rFonts w:cstheme="minorHAnsi"/>
        </w:rPr>
      </w:pPr>
      <w:r>
        <w:t xml:space="preserve">Posaçërisht, efikasiteti minimal i pajisjeve dhe sistemeve për prodhimin e energjisë termike nga biomasa është 85% për aplikim në sektorin </w:t>
      </w:r>
      <w:r w:rsidRPr="00737F79">
        <w:rPr>
          <w:color w:val="C00000"/>
        </w:rPr>
        <w:t>amvisnor</w:t>
      </w:r>
      <w:r>
        <w:t xml:space="preserve"> dhe atë </w:t>
      </w:r>
      <w:r w:rsidRPr="00737F79">
        <w:rPr>
          <w:color w:val="C00000"/>
        </w:rPr>
        <w:t>komercial</w:t>
      </w:r>
      <w:r>
        <w:t>, si dhe 70% për aplikim në sektorin industrial. Për më tepër, impiantet që përdorin energjinë aerotermike, gjeotermike dhe hidrotermike përmes shfrytëzimit të pompave termike, duhet të përmbushin kriteret minimale të eko-etiketave për pompat termike-elektrike, me gaz apo me absorbim teknik. Në fund, impiantet termike me energji diellore duhet të kenë pajisje e sisteme që janë të certifikuara sipas standardeve evropiane, edhe etiketat ekologjike, etiketat energjetike, si dhe sistemet tjera referente.</w:t>
      </w:r>
    </w:p>
    <w:p w14:paraId="5D8820A0" w14:textId="77777777" w:rsidR="00330D46" w:rsidRPr="00BA6B00" w:rsidRDefault="00330D46" w:rsidP="005E4A0E">
      <w:pPr>
        <w:spacing w:before="120" w:after="120" w:line="240" w:lineRule="auto"/>
        <w:jc w:val="both"/>
        <w:rPr>
          <w:rFonts w:cstheme="minorHAnsi"/>
        </w:rPr>
      </w:pPr>
    </w:p>
    <w:p w14:paraId="4A58947C" w14:textId="77777777" w:rsidR="005E4A0E" w:rsidRPr="00BA6B00" w:rsidRDefault="005E4A0E" w:rsidP="00455E08">
      <w:pPr>
        <w:spacing w:before="240" w:after="240" w:line="240" w:lineRule="auto"/>
        <w:jc w:val="both"/>
        <w:rPr>
          <w:rFonts w:cstheme="minorHAnsi"/>
          <w:i/>
        </w:rPr>
      </w:pPr>
      <w:r>
        <w:rPr>
          <w:i/>
        </w:rPr>
        <w:t>4.2.3. Ndërtesat (neni 13(3) i Direktivës 2009/28/EC)</w:t>
      </w:r>
    </w:p>
    <w:p w14:paraId="43452446" w14:textId="77777777" w:rsidR="00330D46" w:rsidRPr="00BA6B00" w:rsidRDefault="00330D46" w:rsidP="00330D46">
      <w:pPr>
        <w:spacing w:before="120" w:after="120" w:line="240" w:lineRule="auto"/>
        <w:jc w:val="both"/>
      </w:pPr>
      <w:r>
        <w:t>a)</w:t>
      </w:r>
      <w:r>
        <w:tab/>
        <w:t xml:space="preserve">Në lidhje me nenin që ka të bëjë me rritjen e pjesës së energjisë nga burimet e ripërtërishme në sektorin ndërtimor, legjislacioni në vijim rregullon disa aspekte të tij:  </w:t>
      </w:r>
    </w:p>
    <w:p w14:paraId="4E8D795B" w14:textId="77777777" w:rsidR="00330D46" w:rsidRPr="00852A8B" w:rsidRDefault="00EB1E33" w:rsidP="00AB4A2D">
      <w:pPr>
        <w:pStyle w:val="ListParagraph"/>
        <w:numPr>
          <w:ilvl w:val="0"/>
          <w:numId w:val="9"/>
        </w:numPr>
        <w:spacing w:before="120"/>
        <w:rPr>
          <w:rFonts w:asciiTheme="minorHAnsi" w:hAnsiTheme="minorHAnsi" w:cstheme="minorHAnsi"/>
        </w:rPr>
      </w:pPr>
      <w:r>
        <w:rPr>
          <w:rFonts w:asciiTheme="minorHAnsi" w:hAnsiTheme="minorHAnsi"/>
        </w:rPr>
        <w:t xml:space="preserve">Ligji nr. 04/L-110 për Ndërtimin (GZ/Nr. 18/03 korrik 2013). </w:t>
      </w:r>
    </w:p>
    <w:p w14:paraId="24756F6D" w14:textId="77777777" w:rsidR="00330D46" w:rsidRPr="00852A8B" w:rsidRDefault="00EB1E33" w:rsidP="00AB4A2D">
      <w:pPr>
        <w:pStyle w:val="ListParagraph"/>
        <w:numPr>
          <w:ilvl w:val="0"/>
          <w:numId w:val="9"/>
        </w:numPr>
        <w:spacing w:before="120"/>
        <w:rPr>
          <w:rFonts w:asciiTheme="minorHAnsi" w:hAnsiTheme="minorHAnsi" w:cstheme="minorHAnsi"/>
        </w:rPr>
      </w:pPr>
      <w:r>
        <w:rPr>
          <w:rFonts w:asciiTheme="minorHAnsi" w:hAnsiTheme="minorHAnsi"/>
        </w:rPr>
        <w:t>Ligji nr. 2011/04-L-016 për Efiçiencën e Energjisë (GZ/. Nr 6 / 22 Korrik 2011).</w:t>
      </w:r>
    </w:p>
    <w:p w14:paraId="48407A7E" w14:textId="77777777" w:rsidR="00330D46" w:rsidRPr="00852A8B" w:rsidRDefault="00EB1E33" w:rsidP="00AB4A2D">
      <w:pPr>
        <w:pStyle w:val="ListParagraph"/>
        <w:numPr>
          <w:ilvl w:val="0"/>
          <w:numId w:val="9"/>
        </w:numPr>
        <w:spacing w:before="120"/>
        <w:rPr>
          <w:rFonts w:asciiTheme="minorHAnsi" w:hAnsiTheme="minorHAnsi" w:cstheme="minorHAnsi"/>
        </w:rPr>
      </w:pPr>
      <w:r>
        <w:rPr>
          <w:rFonts w:asciiTheme="minorHAnsi" w:hAnsiTheme="minorHAnsi"/>
        </w:rPr>
        <w:t>Rregullorja teknike për kursimet e energjisë teknike dhe mbrojtjen termike në ndërtesa, nr. 03/2009.</w:t>
      </w:r>
    </w:p>
    <w:p w14:paraId="6CA82211" w14:textId="77777777" w:rsidR="00330D46" w:rsidRPr="00852A8B" w:rsidRDefault="00EB1E33" w:rsidP="00AB4A2D">
      <w:pPr>
        <w:pStyle w:val="ListParagraph"/>
        <w:numPr>
          <w:ilvl w:val="0"/>
          <w:numId w:val="9"/>
        </w:numPr>
        <w:spacing w:before="120"/>
        <w:rPr>
          <w:rFonts w:asciiTheme="minorHAnsi" w:hAnsiTheme="minorHAnsi" w:cstheme="minorHAnsi"/>
        </w:rPr>
      </w:pPr>
      <w:r>
        <w:rPr>
          <w:rFonts w:asciiTheme="minorHAnsi" w:hAnsiTheme="minorHAnsi"/>
        </w:rPr>
        <w:t>Rregullorja nr. 01/2012 për themelimin dhe funksionimin e Komisionit për Certifikimin e Auditorëve dhe Menaxherëve të Energjisë.</w:t>
      </w:r>
    </w:p>
    <w:p w14:paraId="092FCE68" w14:textId="20877939" w:rsidR="00330D46" w:rsidRPr="00852A8B" w:rsidRDefault="00EB1E33" w:rsidP="00AB4A2D">
      <w:pPr>
        <w:pStyle w:val="ListParagraph"/>
        <w:numPr>
          <w:ilvl w:val="0"/>
          <w:numId w:val="9"/>
        </w:numPr>
        <w:spacing w:before="120"/>
        <w:rPr>
          <w:rFonts w:asciiTheme="minorHAnsi" w:hAnsiTheme="minorHAnsi" w:cstheme="minorHAnsi"/>
        </w:rPr>
      </w:pPr>
      <w:r>
        <w:rPr>
          <w:rFonts w:asciiTheme="minorHAnsi" w:hAnsiTheme="minorHAnsi"/>
        </w:rPr>
        <w:t xml:space="preserve"> Kodi Ndërtimor i Republikës së Kosovës</w:t>
      </w:r>
      <w:r>
        <w:rPr>
          <w:rFonts w:asciiTheme="minorHAnsi" w:hAnsiTheme="minorHAnsi"/>
          <w:b/>
        </w:rPr>
        <w:t>.</w:t>
      </w:r>
    </w:p>
    <w:p w14:paraId="0A0E125F" w14:textId="77777777" w:rsidR="00DE1DB5" w:rsidRPr="00852A8B" w:rsidRDefault="00EB1E33" w:rsidP="00196B47">
      <w:pPr>
        <w:pStyle w:val="ListParagraph"/>
        <w:numPr>
          <w:ilvl w:val="0"/>
          <w:numId w:val="9"/>
        </w:numPr>
        <w:spacing w:before="120"/>
        <w:rPr>
          <w:rFonts w:asciiTheme="minorHAnsi" w:hAnsiTheme="minorHAnsi" w:cstheme="minorHAnsi"/>
        </w:rPr>
      </w:pPr>
      <w:r>
        <w:rPr>
          <w:rFonts w:asciiTheme="minorHAnsi" w:hAnsiTheme="minorHAnsi"/>
          <w:szCs w:val="22"/>
        </w:rPr>
        <w:t>Ligji nr. 05/L-101 për performancën energjetike të ndërtesave.</w:t>
      </w:r>
    </w:p>
    <w:p w14:paraId="58E38EE4" w14:textId="77777777" w:rsidR="00A00171" w:rsidRPr="00BA6B00" w:rsidRDefault="00A00171" w:rsidP="00330D46">
      <w:pPr>
        <w:spacing w:before="120" w:after="120" w:line="240" w:lineRule="auto"/>
        <w:jc w:val="both"/>
      </w:pPr>
    </w:p>
    <w:p w14:paraId="2CEDAC80" w14:textId="465B67B7" w:rsidR="00330D46" w:rsidRPr="00BA6B00" w:rsidRDefault="00330D46" w:rsidP="00330D46">
      <w:pPr>
        <w:spacing w:before="120" w:after="120" w:line="240" w:lineRule="auto"/>
        <w:jc w:val="both"/>
      </w:pPr>
      <w:r>
        <w:t>b)</w:t>
      </w:r>
      <w:r>
        <w:tab/>
        <w:t>Institucioni përgjegjës për zbatimin e legjislacionit për shfrytëzimin e BRE-ve në ndërtesa është Ministria e Mjedisit dhe Planifikimit Hapësinor (MMPH).</w:t>
      </w:r>
    </w:p>
    <w:p w14:paraId="34FF8504" w14:textId="77777777" w:rsidR="00A00171" w:rsidRPr="00BA6B00" w:rsidRDefault="00A00171" w:rsidP="00A00171">
      <w:pPr>
        <w:spacing w:before="120" w:after="120" w:line="240" w:lineRule="auto"/>
        <w:jc w:val="both"/>
      </w:pPr>
    </w:p>
    <w:p w14:paraId="499EAE1D" w14:textId="09767F6B" w:rsidR="00330D46" w:rsidRPr="00BA6B00" w:rsidRDefault="00330D46" w:rsidP="00A00171">
      <w:pPr>
        <w:spacing w:before="120" w:after="120" w:line="240" w:lineRule="auto"/>
        <w:jc w:val="both"/>
      </w:pPr>
      <w:r>
        <w:t>c)</w:t>
      </w:r>
      <w:r>
        <w:tab/>
        <w:t>Transpozimi i Direktivës 2010/31/</w:t>
      </w:r>
      <w:r w:rsidRPr="00737F79">
        <w:rPr>
          <w:color w:val="C00000"/>
        </w:rPr>
        <w:t>EC</w:t>
      </w:r>
      <w:r>
        <w:t xml:space="preserve"> për Performancën Energjetike të Ndërtesave (</w:t>
      </w:r>
      <w:r w:rsidRPr="00737F79">
        <w:rPr>
          <w:color w:val="C00000"/>
        </w:rPr>
        <w:t>EPBD</w:t>
      </w:r>
      <w:r>
        <w:t>) është bërë përmes Ligjit për Ndërtim dhe Kodit Ndërtimor.</w:t>
      </w:r>
    </w:p>
    <w:p w14:paraId="678A6932" w14:textId="77777777" w:rsidR="00A00171" w:rsidRPr="00BA6B00" w:rsidRDefault="00A00171" w:rsidP="00330D46">
      <w:pPr>
        <w:spacing w:before="120" w:after="120" w:line="240" w:lineRule="auto"/>
        <w:jc w:val="both"/>
      </w:pPr>
    </w:p>
    <w:p w14:paraId="43F29B20" w14:textId="77777777" w:rsidR="00AF48F9" w:rsidRPr="00BA6B00" w:rsidRDefault="00330D46" w:rsidP="00AF48F9">
      <w:pPr>
        <w:spacing w:before="240" w:after="240" w:line="240" w:lineRule="auto"/>
        <w:jc w:val="both"/>
      </w:pPr>
      <w:r>
        <w:t>d)</w:t>
      </w:r>
      <w:r>
        <w:tab/>
        <w:t>Nuk ka masa ekzistuese apo të planifikuara në nivel lokal/rajonal mbi shfrytëzimin e energjisë nga BRE në ndërtesa. Ministria e Mjedisit dhe Planifikimit Hapësinor duhet të hartojë rregulloret e nevojshme për të inkurajuar organet lokale dhe rajonale që të përfshijnë ngrohjen dhe ftohjen nga burimet e ripërtërishme të energjisë në planifikimin e infrastrukturës së qytetit, si dhe të përfshijnë kriteret minimale të integrimit të BRE-ve në planifikimin e infrastrukturës.</w:t>
      </w:r>
    </w:p>
    <w:p w14:paraId="4D35ED0C" w14:textId="77777777" w:rsidR="00A00171" w:rsidRPr="00BA6B00" w:rsidRDefault="00A00171" w:rsidP="00330D46">
      <w:pPr>
        <w:spacing w:before="120" w:after="120" w:line="240" w:lineRule="auto"/>
        <w:jc w:val="both"/>
      </w:pPr>
    </w:p>
    <w:p w14:paraId="28D3B7B5" w14:textId="77777777" w:rsidR="00330D46" w:rsidRDefault="00067B51" w:rsidP="00330D46">
      <w:pPr>
        <w:spacing w:before="120" w:after="120" w:line="240" w:lineRule="auto"/>
        <w:jc w:val="both"/>
      </w:pPr>
      <w:r>
        <w:t>e)</w:t>
      </w:r>
      <w:r>
        <w:tab/>
        <w:t>Rritja e projektuar e shfrytëzimit të energjisë së ripërtërishme në ndërtesa deri më 2020, në sektorin publik dhe në atë privat, si dhe të ndara sipas viteve përkatëse, është prezantuar në Tabelën 11 më poshtë. Të dhënat ofrohen në baza vjetore. (Konsumi i burimeve të ripërtërishme të energjisë në ngrohje, ftohje dhe energji elektrike duhen përfshirë gjithashtu).</w:t>
      </w:r>
    </w:p>
    <w:p w14:paraId="4DDDDD67" w14:textId="77777777" w:rsidR="00023221" w:rsidRPr="00BA6B00" w:rsidRDefault="00023221" w:rsidP="00330D46">
      <w:pPr>
        <w:spacing w:before="120" w:after="120" w:line="240" w:lineRule="auto"/>
        <w:jc w:val="both"/>
      </w:pPr>
    </w:p>
    <w:p w14:paraId="5D3B6621" w14:textId="7EDEAF02" w:rsidR="00A00171" w:rsidRPr="00BA6B00" w:rsidRDefault="00A00171" w:rsidP="00A00171">
      <w:pPr>
        <w:spacing w:before="120" w:after="120" w:line="240" w:lineRule="auto"/>
        <w:ind w:left="-360"/>
        <w:jc w:val="center"/>
        <w:outlineLvl w:val="5"/>
        <w:rPr>
          <w:rFonts w:eastAsia="Times New Roman" w:cstheme="minorHAnsi"/>
          <w:b/>
          <w:bCs/>
        </w:rPr>
      </w:pPr>
      <w:bookmarkStart w:id="28" w:name="_Toc518377703"/>
      <w:r>
        <w:rPr>
          <w:rFonts w:ascii="Calibri" w:hAnsi="Calibri"/>
          <w:b/>
          <w:iCs/>
        </w:rPr>
        <w:t xml:space="preserve">Tabela </w:t>
      </w:r>
      <w:r w:rsidR="00724C64" w:rsidRPr="00EB1E33">
        <w:rPr>
          <w:rFonts w:ascii="Calibri" w:eastAsia="Calibri" w:hAnsi="Calibri"/>
          <w:b/>
          <w:iCs/>
        </w:rPr>
        <w:fldChar w:fldCharType="begin"/>
      </w:r>
      <w:r w:rsidRPr="00BA6B00">
        <w:rPr>
          <w:rFonts w:ascii="Calibri" w:eastAsia="Calibri" w:hAnsi="Calibri"/>
          <w:b/>
          <w:iCs/>
        </w:rPr>
        <w:instrText xml:space="preserve"> SEQ Table \* ARABIC </w:instrText>
      </w:r>
      <w:r w:rsidR="00724C64" w:rsidRPr="00EB1E33">
        <w:rPr>
          <w:rFonts w:ascii="Calibri" w:eastAsia="Calibri" w:hAnsi="Calibri"/>
          <w:b/>
          <w:iCs/>
        </w:rPr>
        <w:fldChar w:fldCharType="separate"/>
      </w:r>
      <w:r w:rsidR="00DC4741">
        <w:rPr>
          <w:rFonts w:ascii="Calibri" w:eastAsia="Calibri" w:hAnsi="Calibri"/>
          <w:b/>
          <w:iCs/>
          <w:noProof/>
        </w:rPr>
        <w:t>11</w:t>
      </w:r>
      <w:r w:rsidR="00724C64" w:rsidRPr="00EB1E33">
        <w:rPr>
          <w:rFonts w:ascii="Calibri" w:eastAsia="Calibri" w:hAnsi="Calibri"/>
          <w:b/>
          <w:iCs/>
        </w:rPr>
        <w:fldChar w:fldCharType="end"/>
      </w:r>
      <w:r>
        <w:rPr>
          <w:b/>
        </w:rPr>
        <w:t>:</w:t>
      </w:r>
      <w:r w:rsidR="00023221">
        <w:rPr>
          <w:b/>
          <w:bCs/>
        </w:rPr>
        <w:t xml:space="preserve"> Pjesëmarrja e vlerësuar e energjisë nga burimet e</w:t>
      </w:r>
      <w:r>
        <w:rPr>
          <w:b/>
          <w:bCs/>
        </w:rPr>
        <w:t xml:space="preserve"> ripërtërishme në sektorin ndërtimor.</w:t>
      </w:r>
      <w:bookmarkEnd w:id="28"/>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2109"/>
        <w:gridCol w:w="1857"/>
        <w:gridCol w:w="1857"/>
        <w:gridCol w:w="1857"/>
        <w:gridCol w:w="1500"/>
      </w:tblGrid>
      <w:tr w:rsidR="00A00171" w:rsidRPr="0033055B" w14:paraId="7DB00D47" w14:textId="77777777" w:rsidTr="006A1C6F">
        <w:trPr>
          <w:jc w:val="center"/>
        </w:trPr>
        <w:tc>
          <w:tcPr>
            <w:tcW w:w="2109" w:type="dxa"/>
            <w:shd w:val="clear" w:color="auto" w:fill="D9D9D9" w:themeFill="background1" w:themeFillShade="D9"/>
            <w:vAlign w:val="center"/>
          </w:tcPr>
          <w:p w14:paraId="4AC9F5DA" w14:textId="77777777" w:rsidR="00A00171" w:rsidRPr="0033055B" w:rsidRDefault="00A00171" w:rsidP="006A1C6F">
            <w:pPr>
              <w:suppressAutoHyphens/>
              <w:snapToGrid w:val="0"/>
              <w:spacing w:after="0" w:line="240" w:lineRule="auto"/>
              <w:jc w:val="both"/>
              <w:rPr>
                <w:rFonts w:eastAsia="Times New Roman" w:cstheme="minorHAnsi"/>
                <w:b/>
              </w:rPr>
            </w:pPr>
            <w:r>
              <w:rPr>
                <w:b/>
              </w:rPr>
              <w:t>(%)</w:t>
            </w:r>
          </w:p>
        </w:tc>
        <w:tc>
          <w:tcPr>
            <w:tcW w:w="1857" w:type="dxa"/>
            <w:shd w:val="clear" w:color="auto" w:fill="D9D9D9" w:themeFill="background1" w:themeFillShade="D9"/>
            <w:vAlign w:val="center"/>
          </w:tcPr>
          <w:p w14:paraId="40E97B52" w14:textId="77777777" w:rsidR="00A00171" w:rsidRPr="0033055B" w:rsidRDefault="00A00171" w:rsidP="006A1C6F">
            <w:pPr>
              <w:suppressAutoHyphens/>
              <w:snapToGrid w:val="0"/>
              <w:spacing w:after="0" w:line="240" w:lineRule="auto"/>
              <w:jc w:val="center"/>
              <w:rPr>
                <w:rFonts w:eastAsia="Times New Roman" w:cstheme="minorHAnsi"/>
                <w:b/>
              </w:rPr>
            </w:pPr>
            <w:r>
              <w:rPr>
                <w:b/>
              </w:rPr>
              <w:t>2009</w:t>
            </w:r>
          </w:p>
        </w:tc>
        <w:tc>
          <w:tcPr>
            <w:tcW w:w="1857" w:type="dxa"/>
            <w:shd w:val="clear" w:color="auto" w:fill="D9D9D9" w:themeFill="background1" w:themeFillShade="D9"/>
            <w:vAlign w:val="center"/>
          </w:tcPr>
          <w:p w14:paraId="582CCB6F" w14:textId="77777777" w:rsidR="00A00171" w:rsidRPr="0033055B" w:rsidRDefault="00A00171" w:rsidP="006A1C6F">
            <w:pPr>
              <w:suppressAutoHyphens/>
              <w:snapToGrid w:val="0"/>
              <w:spacing w:after="0" w:line="240" w:lineRule="auto"/>
              <w:jc w:val="center"/>
              <w:rPr>
                <w:rFonts w:eastAsia="Times New Roman" w:cstheme="minorHAnsi"/>
                <w:b/>
              </w:rPr>
            </w:pPr>
            <w:r>
              <w:rPr>
                <w:b/>
              </w:rPr>
              <w:t>2010</w:t>
            </w:r>
          </w:p>
        </w:tc>
        <w:tc>
          <w:tcPr>
            <w:tcW w:w="1857" w:type="dxa"/>
            <w:shd w:val="clear" w:color="auto" w:fill="D9D9D9" w:themeFill="background1" w:themeFillShade="D9"/>
            <w:vAlign w:val="center"/>
          </w:tcPr>
          <w:p w14:paraId="49854893" w14:textId="77777777" w:rsidR="00A00171" w:rsidRPr="0033055B" w:rsidRDefault="00A00171" w:rsidP="006A1C6F">
            <w:pPr>
              <w:suppressAutoHyphens/>
              <w:snapToGrid w:val="0"/>
              <w:spacing w:after="0" w:line="240" w:lineRule="auto"/>
              <w:jc w:val="center"/>
              <w:rPr>
                <w:rFonts w:eastAsia="Times New Roman" w:cstheme="minorHAnsi"/>
                <w:b/>
              </w:rPr>
            </w:pPr>
            <w:r>
              <w:rPr>
                <w:b/>
              </w:rPr>
              <w:t>2015</w:t>
            </w:r>
          </w:p>
        </w:tc>
        <w:tc>
          <w:tcPr>
            <w:tcW w:w="1500" w:type="dxa"/>
            <w:shd w:val="clear" w:color="auto" w:fill="D9D9D9" w:themeFill="background1" w:themeFillShade="D9"/>
            <w:vAlign w:val="center"/>
          </w:tcPr>
          <w:p w14:paraId="193E14C8" w14:textId="77777777" w:rsidR="00A00171" w:rsidRPr="0033055B" w:rsidRDefault="00A00171" w:rsidP="006A1C6F">
            <w:pPr>
              <w:suppressAutoHyphens/>
              <w:snapToGrid w:val="0"/>
              <w:spacing w:after="0" w:line="240" w:lineRule="auto"/>
              <w:jc w:val="center"/>
              <w:rPr>
                <w:rFonts w:eastAsia="Times New Roman" w:cstheme="minorHAnsi"/>
                <w:b/>
              </w:rPr>
            </w:pPr>
            <w:r>
              <w:rPr>
                <w:b/>
              </w:rPr>
              <w:t>2020</w:t>
            </w:r>
          </w:p>
        </w:tc>
      </w:tr>
      <w:tr w:rsidR="00A00171" w:rsidRPr="0033055B" w14:paraId="4BEFEF05" w14:textId="77777777" w:rsidTr="00C901E9">
        <w:trPr>
          <w:jc w:val="center"/>
        </w:trPr>
        <w:tc>
          <w:tcPr>
            <w:tcW w:w="2109" w:type="dxa"/>
            <w:shd w:val="clear" w:color="auto" w:fill="FFFFFF" w:themeFill="background1"/>
          </w:tcPr>
          <w:p w14:paraId="65FA47B7" w14:textId="77777777" w:rsidR="00A00171" w:rsidRPr="0033055B" w:rsidRDefault="00A00171" w:rsidP="006A1C6F">
            <w:pPr>
              <w:suppressAutoHyphens/>
              <w:snapToGrid w:val="0"/>
              <w:spacing w:after="0" w:line="240" w:lineRule="auto"/>
              <w:jc w:val="both"/>
              <w:rPr>
                <w:rFonts w:eastAsia="Times New Roman" w:cstheme="minorHAnsi"/>
              </w:rPr>
            </w:pPr>
            <w:r>
              <w:t>Banesore</w:t>
            </w:r>
          </w:p>
        </w:tc>
        <w:tc>
          <w:tcPr>
            <w:tcW w:w="1857" w:type="dxa"/>
            <w:shd w:val="clear" w:color="auto" w:fill="FFFFFF" w:themeFill="background1"/>
            <w:vAlign w:val="center"/>
          </w:tcPr>
          <w:p w14:paraId="4D9E191D" w14:textId="77777777" w:rsidR="00A00171" w:rsidRPr="0033055B" w:rsidRDefault="00A00171" w:rsidP="006A1C6F">
            <w:pPr>
              <w:suppressAutoHyphens/>
              <w:snapToGrid w:val="0"/>
              <w:spacing w:after="0" w:line="240" w:lineRule="auto"/>
              <w:jc w:val="center"/>
              <w:rPr>
                <w:rFonts w:eastAsia="Times New Roman" w:cstheme="minorHAnsi"/>
              </w:rPr>
            </w:pPr>
            <w:r>
              <w:t>48.0%</w:t>
            </w:r>
          </w:p>
        </w:tc>
        <w:tc>
          <w:tcPr>
            <w:tcW w:w="1857" w:type="dxa"/>
            <w:shd w:val="clear" w:color="auto" w:fill="FFFFFF" w:themeFill="background1"/>
            <w:vAlign w:val="center"/>
          </w:tcPr>
          <w:p w14:paraId="45363B03" w14:textId="77777777" w:rsidR="00A00171" w:rsidRPr="0033055B" w:rsidRDefault="00A00171" w:rsidP="006A1C6F">
            <w:pPr>
              <w:suppressAutoHyphens/>
              <w:snapToGrid w:val="0"/>
              <w:spacing w:after="0" w:line="240" w:lineRule="auto"/>
              <w:jc w:val="center"/>
              <w:rPr>
                <w:rFonts w:eastAsia="Times New Roman" w:cstheme="minorHAnsi"/>
              </w:rPr>
            </w:pPr>
            <w:r>
              <w:t>47.7%</w:t>
            </w:r>
          </w:p>
        </w:tc>
        <w:tc>
          <w:tcPr>
            <w:tcW w:w="1857" w:type="dxa"/>
            <w:shd w:val="clear" w:color="auto" w:fill="FFFFFF" w:themeFill="background1"/>
            <w:vAlign w:val="center"/>
          </w:tcPr>
          <w:p w14:paraId="4C82B4E3" w14:textId="77777777" w:rsidR="00A00171" w:rsidRPr="0033055B" w:rsidRDefault="00A00171" w:rsidP="006A1C6F">
            <w:pPr>
              <w:suppressAutoHyphens/>
              <w:snapToGrid w:val="0"/>
              <w:spacing w:after="0" w:line="240" w:lineRule="auto"/>
              <w:jc w:val="center"/>
              <w:rPr>
                <w:rFonts w:eastAsia="Times New Roman" w:cstheme="minorHAnsi"/>
              </w:rPr>
            </w:pPr>
            <w:r>
              <w:t>51.5%</w:t>
            </w:r>
          </w:p>
        </w:tc>
        <w:tc>
          <w:tcPr>
            <w:tcW w:w="1500" w:type="dxa"/>
            <w:shd w:val="clear" w:color="auto" w:fill="FFFFFF" w:themeFill="background1"/>
            <w:vAlign w:val="center"/>
          </w:tcPr>
          <w:p w14:paraId="4D62374A" w14:textId="77777777" w:rsidR="00A00171" w:rsidRPr="0033055B" w:rsidRDefault="00A00171" w:rsidP="006A1C6F">
            <w:pPr>
              <w:suppressAutoHyphens/>
              <w:snapToGrid w:val="0"/>
              <w:spacing w:after="0" w:line="240" w:lineRule="auto"/>
              <w:jc w:val="center"/>
              <w:rPr>
                <w:rFonts w:eastAsia="Times New Roman" w:cstheme="minorHAnsi"/>
              </w:rPr>
            </w:pPr>
            <w:r>
              <w:t>60.3%</w:t>
            </w:r>
          </w:p>
        </w:tc>
      </w:tr>
      <w:tr w:rsidR="00A00171" w:rsidRPr="0033055B" w14:paraId="10756443" w14:textId="77777777" w:rsidTr="00C901E9">
        <w:trPr>
          <w:jc w:val="center"/>
        </w:trPr>
        <w:tc>
          <w:tcPr>
            <w:tcW w:w="2109" w:type="dxa"/>
            <w:shd w:val="clear" w:color="auto" w:fill="FFFFFF" w:themeFill="background1"/>
          </w:tcPr>
          <w:p w14:paraId="4EB16430" w14:textId="77777777" w:rsidR="00A00171" w:rsidRPr="0033055B" w:rsidRDefault="00A00171" w:rsidP="006A1C6F">
            <w:pPr>
              <w:suppressAutoHyphens/>
              <w:snapToGrid w:val="0"/>
              <w:spacing w:after="0" w:line="240" w:lineRule="auto"/>
              <w:jc w:val="both"/>
              <w:rPr>
                <w:rFonts w:eastAsia="Times New Roman" w:cstheme="minorHAnsi"/>
              </w:rPr>
            </w:pPr>
            <w:r>
              <w:t>Komerciale</w:t>
            </w:r>
          </w:p>
        </w:tc>
        <w:tc>
          <w:tcPr>
            <w:tcW w:w="1857" w:type="dxa"/>
            <w:shd w:val="clear" w:color="auto" w:fill="FFFFFF" w:themeFill="background1"/>
            <w:vAlign w:val="center"/>
          </w:tcPr>
          <w:p w14:paraId="065D6952" w14:textId="77777777" w:rsidR="00A00171" w:rsidRPr="0033055B" w:rsidRDefault="00A00171" w:rsidP="006A1C6F">
            <w:pPr>
              <w:suppressAutoHyphens/>
              <w:snapToGrid w:val="0"/>
              <w:spacing w:after="0" w:line="240" w:lineRule="auto"/>
              <w:jc w:val="center"/>
              <w:rPr>
                <w:rFonts w:eastAsia="Times New Roman" w:cstheme="minorHAnsi"/>
              </w:rPr>
            </w:pPr>
            <w:r>
              <w:t>5.8%</w:t>
            </w:r>
          </w:p>
        </w:tc>
        <w:tc>
          <w:tcPr>
            <w:tcW w:w="1857" w:type="dxa"/>
            <w:shd w:val="clear" w:color="auto" w:fill="FFFFFF" w:themeFill="background1"/>
            <w:vAlign w:val="center"/>
          </w:tcPr>
          <w:p w14:paraId="489E2723" w14:textId="77777777" w:rsidR="00A00171" w:rsidRPr="0033055B" w:rsidRDefault="00A00171" w:rsidP="006A1C6F">
            <w:pPr>
              <w:suppressAutoHyphens/>
              <w:snapToGrid w:val="0"/>
              <w:spacing w:after="0" w:line="240" w:lineRule="auto"/>
              <w:jc w:val="center"/>
              <w:rPr>
                <w:rFonts w:eastAsia="Times New Roman" w:cstheme="minorHAnsi"/>
              </w:rPr>
            </w:pPr>
            <w:r>
              <w:t>6.2%</w:t>
            </w:r>
          </w:p>
        </w:tc>
        <w:tc>
          <w:tcPr>
            <w:tcW w:w="1857" w:type="dxa"/>
            <w:shd w:val="clear" w:color="auto" w:fill="FFFFFF" w:themeFill="background1"/>
            <w:vAlign w:val="center"/>
          </w:tcPr>
          <w:p w14:paraId="765033F7" w14:textId="77777777" w:rsidR="00A00171" w:rsidRPr="0033055B" w:rsidRDefault="00A00171" w:rsidP="006A1C6F">
            <w:pPr>
              <w:suppressAutoHyphens/>
              <w:snapToGrid w:val="0"/>
              <w:spacing w:after="0" w:line="240" w:lineRule="auto"/>
              <w:jc w:val="center"/>
              <w:rPr>
                <w:rFonts w:eastAsia="Times New Roman" w:cstheme="minorHAnsi"/>
              </w:rPr>
            </w:pPr>
            <w:r>
              <w:t>6.0%</w:t>
            </w:r>
          </w:p>
        </w:tc>
        <w:tc>
          <w:tcPr>
            <w:tcW w:w="1500" w:type="dxa"/>
            <w:shd w:val="clear" w:color="auto" w:fill="FFFFFF" w:themeFill="background1"/>
            <w:vAlign w:val="center"/>
          </w:tcPr>
          <w:p w14:paraId="7DE68B27" w14:textId="77777777" w:rsidR="00A00171" w:rsidRPr="0033055B" w:rsidRDefault="00A00171" w:rsidP="006A1C6F">
            <w:pPr>
              <w:suppressAutoHyphens/>
              <w:snapToGrid w:val="0"/>
              <w:spacing w:after="0" w:line="240" w:lineRule="auto"/>
              <w:jc w:val="center"/>
              <w:rPr>
                <w:rFonts w:eastAsia="Times New Roman" w:cstheme="minorHAnsi"/>
              </w:rPr>
            </w:pPr>
            <w:r>
              <w:t>12.7%</w:t>
            </w:r>
          </w:p>
        </w:tc>
      </w:tr>
      <w:tr w:rsidR="00A00171" w:rsidRPr="0033055B" w14:paraId="61A2191C" w14:textId="77777777" w:rsidTr="00C901E9">
        <w:trPr>
          <w:jc w:val="center"/>
        </w:trPr>
        <w:tc>
          <w:tcPr>
            <w:tcW w:w="2109" w:type="dxa"/>
            <w:shd w:val="clear" w:color="auto" w:fill="FFFFFF" w:themeFill="background1"/>
          </w:tcPr>
          <w:p w14:paraId="02941305" w14:textId="0D910CE6" w:rsidR="00A00171" w:rsidRPr="0033055B" w:rsidRDefault="00F455E4" w:rsidP="006A1C6F">
            <w:pPr>
              <w:suppressAutoHyphens/>
              <w:snapToGrid w:val="0"/>
              <w:spacing w:after="0" w:line="240" w:lineRule="auto"/>
              <w:jc w:val="both"/>
              <w:rPr>
                <w:rFonts w:eastAsia="Times New Roman" w:cstheme="minorHAnsi"/>
              </w:rPr>
            </w:pPr>
            <w:r>
              <w:t>Gjithsej</w:t>
            </w:r>
          </w:p>
        </w:tc>
        <w:tc>
          <w:tcPr>
            <w:tcW w:w="1857" w:type="dxa"/>
            <w:shd w:val="clear" w:color="auto" w:fill="FFFFFF" w:themeFill="background1"/>
            <w:vAlign w:val="center"/>
          </w:tcPr>
          <w:p w14:paraId="05AA4E88" w14:textId="77777777" w:rsidR="00A00171" w:rsidRPr="0033055B" w:rsidRDefault="00A00171" w:rsidP="006A1C6F">
            <w:pPr>
              <w:suppressAutoHyphens/>
              <w:snapToGrid w:val="0"/>
              <w:spacing w:after="0" w:line="240" w:lineRule="auto"/>
              <w:jc w:val="center"/>
              <w:rPr>
                <w:rFonts w:eastAsia="Times New Roman" w:cstheme="minorHAnsi"/>
              </w:rPr>
            </w:pPr>
            <w:r>
              <w:t>39.7%</w:t>
            </w:r>
          </w:p>
        </w:tc>
        <w:tc>
          <w:tcPr>
            <w:tcW w:w="1857" w:type="dxa"/>
            <w:shd w:val="clear" w:color="auto" w:fill="FFFFFF" w:themeFill="background1"/>
            <w:vAlign w:val="center"/>
          </w:tcPr>
          <w:p w14:paraId="71937539" w14:textId="77777777" w:rsidR="00A00171" w:rsidRPr="0033055B" w:rsidRDefault="00A00171" w:rsidP="006A1C6F">
            <w:pPr>
              <w:suppressAutoHyphens/>
              <w:snapToGrid w:val="0"/>
              <w:spacing w:after="0" w:line="240" w:lineRule="auto"/>
              <w:jc w:val="center"/>
              <w:rPr>
                <w:rFonts w:eastAsia="Times New Roman" w:cstheme="minorHAnsi"/>
              </w:rPr>
            </w:pPr>
            <w:r>
              <w:t>39.6%</w:t>
            </w:r>
          </w:p>
        </w:tc>
        <w:tc>
          <w:tcPr>
            <w:tcW w:w="1857" w:type="dxa"/>
            <w:shd w:val="clear" w:color="auto" w:fill="FFFFFF" w:themeFill="background1"/>
            <w:vAlign w:val="center"/>
          </w:tcPr>
          <w:p w14:paraId="4104F6EC" w14:textId="77777777" w:rsidR="00A00171" w:rsidRPr="0033055B" w:rsidRDefault="00A00171" w:rsidP="006A1C6F">
            <w:pPr>
              <w:suppressAutoHyphens/>
              <w:snapToGrid w:val="0"/>
              <w:spacing w:after="0" w:line="240" w:lineRule="auto"/>
              <w:jc w:val="center"/>
              <w:rPr>
                <w:rFonts w:eastAsia="Times New Roman" w:cstheme="minorHAnsi"/>
              </w:rPr>
            </w:pPr>
            <w:r>
              <w:t>40.7%</w:t>
            </w:r>
          </w:p>
        </w:tc>
        <w:tc>
          <w:tcPr>
            <w:tcW w:w="1500" w:type="dxa"/>
            <w:shd w:val="clear" w:color="auto" w:fill="FFFFFF" w:themeFill="background1"/>
            <w:vAlign w:val="center"/>
          </w:tcPr>
          <w:p w14:paraId="76818396" w14:textId="77777777" w:rsidR="00A00171" w:rsidRPr="0033055B" w:rsidRDefault="00A00171" w:rsidP="006A1C6F">
            <w:pPr>
              <w:suppressAutoHyphens/>
              <w:snapToGrid w:val="0"/>
              <w:spacing w:after="0" w:line="240" w:lineRule="auto"/>
              <w:jc w:val="center"/>
              <w:rPr>
                <w:rFonts w:eastAsia="Times New Roman" w:cstheme="minorHAnsi"/>
              </w:rPr>
            </w:pPr>
            <w:r>
              <w:t>49.0%</w:t>
            </w:r>
          </w:p>
        </w:tc>
      </w:tr>
    </w:tbl>
    <w:p w14:paraId="22AA3EAF" w14:textId="77777777" w:rsidR="00A00171" w:rsidRPr="0033055B" w:rsidRDefault="00A00171" w:rsidP="00330D46">
      <w:pPr>
        <w:spacing w:before="120" w:after="120" w:line="240" w:lineRule="auto"/>
        <w:jc w:val="both"/>
        <w:rPr>
          <w:lang w:val="en-GB"/>
        </w:rPr>
      </w:pPr>
    </w:p>
    <w:p w14:paraId="78338E8C" w14:textId="77777777" w:rsidR="00330D46" w:rsidRPr="0033055B" w:rsidRDefault="00EB1E33" w:rsidP="00330D46">
      <w:pPr>
        <w:spacing w:before="120" w:after="120" w:line="240" w:lineRule="auto"/>
        <w:jc w:val="both"/>
      </w:pPr>
      <w:r>
        <w:t xml:space="preserve">Nuk janë caktuar nivele minimale të shfrytëzimit të energjisë së ripërtërishme në ndërtesa të reja dhe të renovuara. </w:t>
      </w:r>
      <w:r>
        <w:rPr>
          <w:shd w:val="clear" w:color="auto" w:fill="FFFFFF"/>
        </w:rPr>
        <w:t>Si alternativë, sistemet efiçiente të energjisë duhet të përdorin energjinë e ripërtërishme në sistemet e decentralizuara të furnizimit të energjisë në ndërtesa të reja.</w:t>
      </w:r>
    </w:p>
    <w:p w14:paraId="6CF07BEE" w14:textId="77777777" w:rsidR="00330D46" w:rsidRPr="0033055B" w:rsidRDefault="00330D46" w:rsidP="00330D46">
      <w:pPr>
        <w:spacing w:before="120" w:after="120" w:line="240" w:lineRule="auto"/>
        <w:jc w:val="both"/>
        <w:rPr>
          <w:lang w:val="en-GB"/>
        </w:rPr>
      </w:pPr>
    </w:p>
    <w:p w14:paraId="60CF4907" w14:textId="77777777" w:rsidR="00330D46" w:rsidRPr="0033055B" w:rsidRDefault="00EB1E33" w:rsidP="00330D46">
      <w:pPr>
        <w:spacing w:before="120" w:after="120" w:line="240" w:lineRule="auto"/>
        <w:jc w:val="both"/>
      </w:pPr>
      <w:r>
        <w:t>f)</w:t>
      </w:r>
      <w:r>
        <w:tab/>
        <w:t xml:space="preserve">Harmonizimi dhe implementimi i </w:t>
      </w:r>
      <w:r w:rsidRPr="00737F79">
        <w:rPr>
          <w:color w:val="C00000"/>
        </w:rPr>
        <w:t>EPBD</w:t>
      </w:r>
      <w:r>
        <w:t>-së do të nxisë përgatitjen e planeve specifike për sigurimin e rolit shembullor të ndërtesave publike në nivel shtetëror, rajonal e lokal, duke përdorur instalimet e energjisë së ripërtërishme ose duke u bërë ndërtesa me zero energji.</w:t>
      </w:r>
    </w:p>
    <w:p w14:paraId="0B317D38" w14:textId="77777777" w:rsidR="00330D46" w:rsidRPr="0033055B" w:rsidRDefault="00330D46" w:rsidP="00330D46">
      <w:pPr>
        <w:spacing w:before="120" w:after="120" w:line="240" w:lineRule="auto"/>
        <w:jc w:val="both"/>
        <w:rPr>
          <w:lang w:val="en-GB"/>
        </w:rPr>
      </w:pPr>
    </w:p>
    <w:p w14:paraId="049D817F" w14:textId="77777777" w:rsidR="00330D46" w:rsidRPr="0033055B" w:rsidRDefault="00EB1E33" w:rsidP="00330D46">
      <w:pPr>
        <w:spacing w:before="120" w:after="120" w:line="240" w:lineRule="auto"/>
        <w:jc w:val="both"/>
      </w:pPr>
      <w:r>
        <w:t>g)</w:t>
      </w:r>
      <w:r>
        <w:tab/>
        <w:t>Teknologjitë e energjisë së ripërtërishme efiçiente në energji planifikohen të promovohen në pajtim me skemën mbështetëse për energjinë e ngrohjes nga BRE-të, përcaktuar me Udhëzimin Administrativ për shfrytëzimin dhe mbështetjen e gjenerimit të energjisë nga burimet e ripërtërishme (nr. 06/2017).</w:t>
      </w:r>
    </w:p>
    <w:p w14:paraId="297DA8CC" w14:textId="77777777" w:rsidR="00E06427" w:rsidRPr="0033055B" w:rsidRDefault="00E06427" w:rsidP="00455E08">
      <w:pPr>
        <w:spacing w:before="240" w:after="240" w:line="240" w:lineRule="auto"/>
        <w:jc w:val="both"/>
        <w:rPr>
          <w:rFonts w:cstheme="minorHAnsi"/>
          <w:i/>
          <w:lang w:val="en-GB"/>
        </w:rPr>
      </w:pPr>
    </w:p>
    <w:p w14:paraId="54C174C6" w14:textId="77777777" w:rsidR="005E4A0E" w:rsidRPr="0033055B" w:rsidRDefault="00EB1E33" w:rsidP="00455E08">
      <w:pPr>
        <w:spacing w:before="240" w:after="240" w:line="240" w:lineRule="auto"/>
        <w:jc w:val="both"/>
        <w:rPr>
          <w:rFonts w:cstheme="minorHAnsi"/>
          <w:i/>
        </w:rPr>
      </w:pPr>
      <w:r>
        <w:rPr>
          <w:i/>
        </w:rPr>
        <w:t xml:space="preserve">4.2.4. </w:t>
      </w:r>
      <w:r w:rsidRPr="00023221">
        <w:rPr>
          <w:i/>
        </w:rPr>
        <w:t>Dispozitat e informimit (nenet 14(1), 14(2) dhe 14(4) të Direktivës 2009/28/</w:t>
      </w:r>
      <w:r w:rsidRPr="00023221">
        <w:rPr>
          <w:i/>
          <w:color w:val="C00000"/>
        </w:rPr>
        <w:t>EC</w:t>
      </w:r>
      <w:r w:rsidRPr="00023221">
        <w:rPr>
          <w:i/>
        </w:rPr>
        <w:t>)</w:t>
      </w:r>
    </w:p>
    <w:p w14:paraId="1CA9A187" w14:textId="77777777" w:rsidR="00C57B19" w:rsidRPr="0033055B" w:rsidRDefault="00EB1E33" w:rsidP="00C57B19">
      <w:pPr>
        <w:spacing w:before="120" w:after="120" w:line="240" w:lineRule="auto"/>
        <w:jc w:val="both"/>
        <w:rPr>
          <w:rFonts w:cstheme="minorHAnsi"/>
        </w:rPr>
      </w:pPr>
      <w:r>
        <w:t>a)</w:t>
      </w:r>
      <w:r>
        <w:tab/>
        <w:t>Nuk ka dispozita të shprehura në legjislacionin ekzistues në lidhje me kriteret e nenit 14 të Direktivës 2009/28</w:t>
      </w:r>
      <w:r w:rsidRPr="00737F79">
        <w:rPr>
          <w:color w:val="C00000"/>
        </w:rPr>
        <w:t>/EC</w:t>
      </w:r>
      <w:r>
        <w:t xml:space="preserve">. </w:t>
      </w:r>
    </w:p>
    <w:p w14:paraId="32A68A77" w14:textId="77777777" w:rsidR="00C57B19" w:rsidRPr="0033055B" w:rsidRDefault="00C57B19" w:rsidP="00C57B19">
      <w:pPr>
        <w:spacing w:before="120" w:after="120" w:line="240" w:lineRule="auto"/>
        <w:jc w:val="both"/>
        <w:rPr>
          <w:rFonts w:cstheme="minorHAnsi"/>
          <w:lang w:val="en-GB"/>
        </w:rPr>
      </w:pPr>
    </w:p>
    <w:p w14:paraId="3A1AC994" w14:textId="77777777" w:rsidR="00C57B19" w:rsidRPr="0033055B" w:rsidRDefault="00C57B19" w:rsidP="00C57B19">
      <w:pPr>
        <w:spacing w:before="120" w:after="120" w:line="240" w:lineRule="auto"/>
        <w:jc w:val="both"/>
        <w:rPr>
          <w:rFonts w:cstheme="minorHAnsi"/>
        </w:rPr>
      </w:pPr>
      <w:r>
        <w:t>b)</w:t>
      </w:r>
      <w:r>
        <w:tab/>
        <w:t>Institucioni përgjegjës për shpërndarjen e informatave në nivel shtetëror është MZHE-ja. Nuk ka trupa të tillë në nivel lokal apo rajonal.</w:t>
      </w:r>
    </w:p>
    <w:p w14:paraId="30B3FE25" w14:textId="77777777" w:rsidR="00C57B19" w:rsidRPr="0033055B" w:rsidRDefault="00C57B19" w:rsidP="00C57B19">
      <w:pPr>
        <w:spacing w:before="120" w:after="120" w:line="240" w:lineRule="auto"/>
        <w:jc w:val="both"/>
        <w:rPr>
          <w:rFonts w:cstheme="minorHAnsi"/>
          <w:lang w:val="en-GB"/>
        </w:rPr>
      </w:pPr>
    </w:p>
    <w:p w14:paraId="0429A0F2" w14:textId="77777777" w:rsidR="00C57B19" w:rsidRPr="0033055B" w:rsidRDefault="00C57B19" w:rsidP="00C57B19">
      <w:pPr>
        <w:spacing w:before="120" w:after="120" w:line="240" w:lineRule="auto"/>
        <w:jc w:val="both"/>
        <w:rPr>
          <w:rFonts w:cstheme="minorHAnsi"/>
        </w:rPr>
      </w:pPr>
      <w:r>
        <w:t>c)</w:t>
      </w:r>
      <w:r>
        <w:tab/>
        <w:t xml:space="preserve">Masat ekzistuese dhe të planifikuara në nivel rajonal dhe lokal për ofrimin e informatave përfshijnë fushatat e vetëdijesimit publik për EE dhe BRE. Këto fushata janë zbatuar dhe vazhdojnë të zbatohen me anë të TV-spoteve, konkurseve shkollore, fletëpalosjeve, billbordëve, punëtorive, trajnimeve, broshurave informuese, si dhe radio-reklamave.  </w:t>
      </w:r>
    </w:p>
    <w:p w14:paraId="4C100CAD" w14:textId="77777777" w:rsidR="00C57B19" w:rsidRPr="0033055B" w:rsidRDefault="00C57B19" w:rsidP="00C57B19">
      <w:pPr>
        <w:spacing w:before="120" w:after="120" w:line="240" w:lineRule="auto"/>
        <w:jc w:val="both"/>
        <w:rPr>
          <w:rFonts w:cstheme="minorHAnsi"/>
          <w:lang w:val="en-GB"/>
        </w:rPr>
      </w:pPr>
    </w:p>
    <w:p w14:paraId="1EC31B7F" w14:textId="77777777" w:rsidR="00C57B19" w:rsidRPr="0033055B" w:rsidRDefault="00C57B19" w:rsidP="00C57B19">
      <w:pPr>
        <w:spacing w:before="120" w:after="120" w:line="240" w:lineRule="auto"/>
        <w:jc w:val="both"/>
        <w:rPr>
          <w:rFonts w:cstheme="minorHAnsi"/>
        </w:rPr>
      </w:pPr>
      <w:r>
        <w:t>d)</w:t>
      </w:r>
      <w:r>
        <w:tab/>
        <w:t xml:space="preserve">Informatat e ofruara për palët relevante (konsumatorë, ndërtues, instalues, arkitektë, furnizues të pajisjeve dhe mjeteve relevate) në lidhje me masat mbështetëse për shfrytëzimin e energjisë nga burimet e ripërtërishme (energji elektrike, ngrohje, ftohje e transport) shpërndahen përmes: faqes së MZHE-së, fletëpalosjeve, broshurave, raporteve të progresit nga MZHE, fushatave, kontraktorëve, etj. Aktivitete të ngjashme planifikohen edhe për të ardhmen.  </w:t>
      </w:r>
    </w:p>
    <w:p w14:paraId="3E029806" w14:textId="77777777" w:rsidR="00C57B19" w:rsidRPr="0033055B" w:rsidRDefault="00C57B19" w:rsidP="00C57B19">
      <w:pPr>
        <w:spacing w:before="120" w:after="120" w:line="240" w:lineRule="auto"/>
        <w:jc w:val="both"/>
        <w:rPr>
          <w:rFonts w:cstheme="minorHAnsi"/>
          <w:lang w:val="en-GB"/>
        </w:rPr>
      </w:pPr>
    </w:p>
    <w:p w14:paraId="048F0390" w14:textId="77777777" w:rsidR="00C57B19" w:rsidRPr="0033055B" w:rsidRDefault="00C57B19" w:rsidP="00C57B19">
      <w:pPr>
        <w:spacing w:before="120" w:after="120" w:line="240" w:lineRule="auto"/>
        <w:jc w:val="both"/>
        <w:rPr>
          <w:rFonts w:cstheme="minorHAnsi"/>
        </w:rPr>
      </w:pPr>
      <w:r>
        <w:t>e)</w:t>
      </w:r>
      <w:r>
        <w:tab/>
        <w:t>Vetëdijesimi dhe programet e trajnimit për qytetarë mbi dobitë dhe praktikat e zhvillimit dhe shfrytëzimit të energjisë nga burimet e ripërtërishme bëhen vazhdimisht. Fushatat e tilla parashihen edhe për të ardhmen. të gjitha fushatat për promovim dhe informim mbi BRE-të planifikohen dhe zbatohen në bashkëpunim me zyrtarët e nivelit lokal.</w:t>
      </w:r>
    </w:p>
    <w:p w14:paraId="7D885592" w14:textId="77777777" w:rsidR="00A00171" w:rsidRPr="0033055B" w:rsidRDefault="00A00171" w:rsidP="00C57B19">
      <w:pPr>
        <w:spacing w:before="120" w:after="120" w:line="240" w:lineRule="auto"/>
        <w:jc w:val="both"/>
        <w:rPr>
          <w:rFonts w:cstheme="minorHAnsi"/>
          <w:lang w:val="en-GB"/>
        </w:rPr>
      </w:pPr>
    </w:p>
    <w:p w14:paraId="7247ACF6" w14:textId="77777777" w:rsidR="005E4A0E" w:rsidRPr="0033055B" w:rsidRDefault="005E4A0E" w:rsidP="00455E08">
      <w:pPr>
        <w:spacing w:before="240" w:after="240" w:line="240" w:lineRule="auto"/>
        <w:jc w:val="both"/>
        <w:rPr>
          <w:rFonts w:cstheme="minorHAnsi"/>
          <w:i/>
        </w:rPr>
      </w:pPr>
      <w:r>
        <w:rPr>
          <w:i/>
        </w:rPr>
        <w:t>4.2.5. Certifikimi i instaluesve (neni 14(3) i Direktivës 2009/28/</w:t>
      </w:r>
      <w:r w:rsidRPr="00737F79">
        <w:rPr>
          <w:i/>
          <w:color w:val="C00000"/>
        </w:rPr>
        <w:t>EC</w:t>
      </w:r>
      <w:r>
        <w:rPr>
          <w:i/>
        </w:rPr>
        <w:t>)</w:t>
      </w:r>
    </w:p>
    <w:p w14:paraId="42C33B00" w14:textId="77777777" w:rsidR="00C57B19" w:rsidRPr="0033055B" w:rsidRDefault="00C57B19" w:rsidP="009871A9">
      <w:pPr>
        <w:spacing w:before="120" w:after="120" w:line="240" w:lineRule="auto"/>
        <w:jc w:val="both"/>
        <w:rPr>
          <w:rFonts w:cstheme="minorHAnsi"/>
        </w:rPr>
      </w:pPr>
      <w:r>
        <w:t>Certifikimi i instaluesve sipas parimeve të përshkruara me Shtojcën IV të Direktivës 2009/28/</w:t>
      </w:r>
      <w:r w:rsidRPr="00737F79">
        <w:rPr>
          <w:color w:val="C00000"/>
        </w:rPr>
        <w:t>EC</w:t>
      </w:r>
      <w:r>
        <w:t xml:space="preserve"> është vendosur me Udhëzimi Administrativ për shfrytëzimin dhe mbështetjen e gjenerimit të energjisë nga burimet e ripërtërishme (nr. 06/2017). Neni 12 parasheh detyrimin e certifikimit të instaluesve të pajisjeve që shfrytëzojnë burime të ripërtërishme të energjisë, neni 13 specifikon autorizimin e institucioneve trajnuese, nenet 14 dhe 15 parashohin detajet e programeve të trajnimit dhe pjesëmarrjes në to, si dhe neni 16 vendos obligimin e certifikimit.</w:t>
      </w:r>
    </w:p>
    <w:p w14:paraId="56BB3C8D" w14:textId="77777777" w:rsidR="005E4A0E" w:rsidRPr="0033055B" w:rsidRDefault="005E4A0E" w:rsidP="005E4A0E">
      <w:pPr>
        <w:spacing w:before="120" w:after="120" w:line="240" w:lineRule="auto"/>
        <w:jc w:val="both"/>
        <w:rPr>
          <w:rFonts w:cstheme="minorHAnsi"/>
          <w:lang w:val="en-GB"/>
        </w:rPr>
      </w:pPr>
    </w:p>
    <w:p w14:paraId="680EC6FC" w14:textId="77777777" w:rsidR="005E4A0E" w:rsidRPr="0033055B" w:rsidRDefault="005E4A0E" w:rsidP="00455E08">
      <w:pPr>
        <w:spacing w:before="240" w:after="240" w:line="240" w:lineRule="auto"/>
        <w:jc w:val="both"/>
        <w:rPr>
          <w:rFonts w:cstheme="minorHAnsi"/>
          <w:i/>
        </w:rPr>
      </w:pPr>
      <w:r>
        <w:rPr>
          <w:i/>
        </w:rPr>
        <w:t>4.2.6. Zhvillimi i infrastrukturës së energjisë elektrike (neni 16(1), si dhe Neni 16(3) deri në (6) të Direktivës 2009/28/</w:t>
      </w:r>
      <w:r w:rsidRPr="00737F79">
        <w:rPr>
          <w:i/>
          <w:color w:val="C00000"/>
        </w:rPr>
        <w:t>EC</w:t>
      </w:r>
      <w:r>
        <w:rPr>
          <w:i/>
        </w:rPr>
        <w:t>)</w:t>
      </w:r>
    </w:p>
    <w:p w14:paraId="19F4A29E" w14:textId="77777777" w:rsidR="00C57B19" w:rsidRPr="0033055B" w:rsidRDefault="00C57B19" w:rsidP="00C57B19">
      <w:pPr>
        <w:spacing w:before="120" w:after="120" w:line="240" w:lineRule="auto"/>
        <w:jc w:val="both"/>
        <w:rPr>
          <w:rFonts w:cstheme="minorHAnsi"/>
        </w:rPr>
      </w:pPr>
      <w:r>
        <w:t xml:space="preserve">a) Legjislacioni kryesor që lidhet me rrjetet e energjisë si dhe operimin e rrjeteve është: </w:t>
      </w:r>
    </w:p>
    <w:p w14:paraId="590F3E8B" w14:textId="77777777" w:rsidR="00FC4D28" w:rsidRPr="0033055B" w:rsidRDefault="00FC4D28" w:rsidP="00FC4D28">
      <w:pPr>
        <w:pStyle w:val="ListParagraph"/>
        <w:numPr>
          <w:ilvl w:val="0"/>
          <w:numId w:val="9"/>
        </w:numPr>
        <w:spacing w:before="120"/>
        <w:rPr>
          <w:rFonts w:ascii="Calibri" w:hAnsi="Calibri" w:cs="Calibri"/>
          <w:szCs w:val="22"/>
        </w:rPr>
      </w:pPr>
      <w:r>
        <w:rPr>
          <w:rFonts w:ascii="Calibri" w:hAnsi="Calibri"/>
          <w:szCs w:val="22"/>
        </w:rPr>
        <w:t>Ligji nr. 05/L-081 për Energjinë (GZ/Nr. 24 / 13 Korrik 2015).</w:t>
      </w:r>
    </w:p>
    <w:p w14:paraId="38DF4EB6" w14:textId="77777777" w:rsidR="00FC4D28" w:rsidRPr="0033055B" w:rsidRDefault="00FC4D28" w:rsidP="007563F9">
      <w:pPr>
        <w:pStyle w:val="ListParagraph"/>
        <w:numPr>
          <w:ilvl w:val="0"/>
          <w:numId w:val="9"/>
        </w:numPr>
        <w:spacing w:before="120"/>
        <w:rPr>
          <w:rFonts w:ascii="Calibri" w:hAnsi="Calibri" w:cs="Calibri"/>
          <w:szCs w:val="22"/>
        </w:rPr>
      </w:pPr>
      <w:r>
        <w:rPr>
          <w:rFonts w:ascii="Calibri" w:hAnsi="Calibri"/>
          <w:szCs w:val="22"/>
        </w:rPr>
        <w:t>Ligji nr. 05/L-084 për Rregullatorin e Energjisë (GZ/Nr. 25 / 14 Korrik 2016).</w:t>
      </w:r>
    </w:p>
    <w:p w14:paraId="69DB6B64" w14:textId="77777777" w:rsidR="00FC4D28" w:rsidRPr="0033055B" w:rsidRDefault="00FC4D28" w:rsidP="007563F9">
      <w:pPr>
        <w:pStyle w:val="ListParagraph"/>
        <w:numPr>
          <w:ilvl w:val="0"/>
          <w:numId w:val="9"/>
        </w:numPr>
        <w:spacing w:before="120"/>
        <w:rPr>
          <w:rFonts w:ascii="Calibri" w:hAnsi="Calibri" w:cs="Calibri"/>
          <w:szCs w:val="22"/>
        </w:rPr>
      </w:pPr>
      <w:r>
        <w:rPr>
          <w:rFonts w:ascii="Calibri" w:hAnsi="Calibri"/>
          <w:szCs w:val="22"/>
        </w:rPr>
        <w:t>Ligji nr. 05/L-085 për Energjinë elektrike (GZ/Nr. 26 / 21 Korrik 2016).</w:t>
      </w:r>
    </w:p>
    <w:p w14:paraId="21B3BBEA" w14:textId="77777777" w:rsidR="003C3B6C" w:rsidRPr="0033055B" w:rsidRDefault="003C3B6C" w:rsidP="003C3B6C">
      <w:pPr>
        <w:pStyle w:val="ListParagraph"/>
        <w:numPr>
          <w:ilvl w:val="0"/>
          <w:numId w:val="9"/>
        </w:numPr>
        <w:spacing w:before="120"/>
        <w:rPr>
          <w:rFonts w:ascii="Calibri" w:hAnsi="Calibri" w:cs="Calibri"/>
          <w:szCs w:val="22"/>
        </w:rPr>
      </w:pPr>
      <w:r>
        <w:rPr>
          <w:rFonts w:ascii="Calibri" w:hAnsi="Calibri"/>
          <w:szCs w:val="22"/>
        </w:rPr>
        <w:t>Rregulli për procedurën e autorizimit për ndërtimin e kapaciteteve të reja nga burimet e ripërtërishme të energjisë, miratuar në prill të vitit 2017 (ZRRE).</w:t>
      </w:r>
    </w:p>
    <w:p w14:paraId="073CB8A8" w14:textId="77777777" w:rsidR="003C3B6C" w:rsidRPr="0033055B" w:rsidRDefault="003C3B6C" w:rsidP="003C3B6C">
      <w:pPr>
        <w:pStyle w:val="ListParagraph"/>
        <w:numPr>
          <w:ilvl w:val="0"/>
          <w:numId w:val="9"/>
        </w:numPr>
        <w:spacing w:before="120"/>
        <w:rPr>
          <w:rFonts w:ascii="Calibri" w:hAnsi="Calibri" w:cs="Calibri"/>
          <w:szCs w:val="22"/>
        </w:rPr>
      </w:pPr>
      <w:r>
        <w:rPr>
          <w:rFonts w:ascii="Calibri" w:hAnsi="Calibri"/>
          <w:szCs w:val="22"/>
        </w:rPr>
        <w:t>Rregulli për licencimin e veprimtarive të energjisë në Kosovë, miratuar në mars të vitit 2017 (ZRRE).</w:t>
      </w:r>
    </w:p>
    <w:p w14:paraId="3F84C4CC" w14:textId="77777777" w:rsidR="00972259" w:rsidRPr="0033055B" w:rsidRDefault="00972259" w:rsidP="007563F9">
      <w:pPr>
        <w:pStyle w:val="ListParagraph"/>
        <w:numPr>
          <w:ilvl w:val="0"/>
          <w:numId w:val="9"/>
        </w:numPr>
        <w:spacing w:before="120"/>
        <w:rPr>
          <w:rFonts w:ascii="Calibri" w:hAnsi="Calibri" w:cs="Calibri"/>
          <w:szCs w:val="22"/>
        </w:rPr>
      </w:pPr>
      <w:r>
        <w:rPr>
          <w:rFonts w:ascii="Calibri" w:hAnsi="Calibri"/>
          <w:szCs w:val="22"/>
        </w:rPr>
        <w:t>Rregulli për të ardhurat maksimale të lejuara të Operatorit të Sistemit të Transmisionit dhe Operatorit të Tregut  (Rregulli për të ardhurat e OST/OT), miratuar në mars të vitit 2017 (ZRRE).</w:t>
      </w:r>
    </w:p>
    <w:p w14:paraId="637E8FB0" w14:textId="77777777" w:rsidR="00972259" w:rsidRPr="0033055B" w:rsidRDefault="00972259" w:rsidP="007563F9">
      <w:pPr>
        <w:pStyle w:val="ListParagraph"/>
        <w:numPr>
          <w:ilvl w:val="0"/>
          <w:numId w:val="9"/>
        </w:numPr>
        <w:spacing w:before="120"/>
        <w:rPr>
          <w:rFonts w:ascii="Calibri" w:hAnsi="Calibri" w:cs="Calibri"/>
          <w:szCs w:val="22"/>
        </w:rPr>
      </w:pPr>
      <w:r>
        <w:rPr>
          <w:rFonts w:ascii="Calibri" w:hAnsi="Calibri"/>
          <w:szCs w:val="22"/>
        </w:rPr>
        <w:t>Rregulli për të ardhurat maksimale të lejuara të Operatorit të Sistemit të Distribucionit (Rregulli për të ardhurat e OSD-së), miratuar në mars të vitit 2017 (ZRRE).</w:t>
      </w:r>
    </w:p>
    <w:p w14:paraId="095B3B04" w14:textId="77777777" w:rsidR="00C57B19" w:rsidRPr="0033055B" w:rsidRDefault="00C57B19" w:rsidP="00AB4A2D">
      <w:pPr>
        <w:pStyle w:val="ListParagraph"/>
        <w:numPr>
          <w:ilvl w:val="0"/>
          <w:numId w:val="9"/>
        </w:numPr>
        <w:spacing w:before="120"/>
        <w:rPr>
          <w:rFonts w:ascii="Calibri" w:hAnsi="Calibri" w:cs="Calibri"/>
          <w:szCs w:val="22"/>
        </w:rPr>
      </w:pPr>
      <w:r>
        <w:rPr>
          <w:rFonts w:ascii="Calibri" w:hAnsi="Calibri"/>
          <w:szCs w:val="22"/>
        </w:rPr>
        <w:t xml:space="preserve">Rregulli për Kushtet e përgjithshme të furnizimit të energjisë, miratuar në prill 2017 (ZRRE). </w:t>
      </w:r>
    </w:p>
    <w:p w14:paraId="0BF3C765" w14:textId="77777777" w:rsidR="00C57B19" w:rsidRPr="0033055B" w:rsidRDefault="00C57B19" w:rsidP="00AB4A2D">
      <w:pPr>
        <w:pStyle w:val="ListParagraph"/>
        <w:numPr>
          <w:ilvl w:val="0"/>
          <w:numId w:val="9"/>
        </w:numPr>
        <w:spacing w:before="120"/>
        <w:rPr>
          <w:rFonts w:ascii="Calibri" w:hAnsi="Calibri" w:cs="Calibri"/>
        </w:rPr>
      </w:pPr>
      <w:r>
        <w:rPr>
          <w:rFonts w:ascii="Calibri" w:hAnsi="Calibri"/>
        </w:rPr>
        <w:t>Kodi i Rrjetit.</w:t>
      </w:r>
    </w:p>
    <w:p w14:paraId="22353759" w14:textId="77777777" w:rsidR="00C57B19" w:rsidRPr="0033055B" w:rsidRDefault="00C57B19" w:rsidP="00AB4A2D">
      <w:pPr>
        <w:pStyle w:val="ListParagraph"/>
        <w:numPr>
          <w:ilvl w:val="0"/>
          <w:numId w:val="9"/>
        </w:numPr>
        <w:spacing w:before="120"/>
        <w:rPr>
          <w:rFonts w:ascii="Calibri" w:hAnsi="Calibri" w:cs="Calibri"/>
        </w:rPr>
      </w:pPr>
      <w:r>
        <w:rPr>
          <w:rFonts w:ascii="Calibri" w:hAnsi="Calibri"/>
        </w:rPr>
        <w:t>Kodi i Rrjetit - Kodi për centralet gjeneruese me erë.</w:t>
      </w:r>
    </w:p>
    <w:p w14:paraId="6E991A03" w14:textId="77777777" w:rsidR="00C57B19" w:rsidRPr="0033055B" w:rsidRDefault="00C57B19" w:rsidP="00AB4A2D">
      <w:pPr>
        <w:pStyle w:val="ListParagraph"/>
        <w:numPr>
          <w:ilvl w:val="0"/>
          <w:numId w:val="9"/>
        </w:numPr>
        <w:spacing w:before="120"/>
        <w:rPr>
          <w:rFonts w:ascii="Calibri" w:hAnsi="Calibri" w:cs="Calibri"/>
        </w:rPr>
      </w:pPr>
      <w:r>
        <w:rPr>
          <w:rFonts w:ascii="Calibri" w:hAnsi="Calibri"/>
        </w:rPr>
        <w:t>Metodologjia e Tarifave të Kyçjes në Transmision/  KOSTT.</w:t>
      </w:r>
    </w:p>
    <w:p w14:paraId="0287C647" w14:textId="77777777" w:rsidR="00CB7B19" w:rsidRPr="0033055B" w:rsidRDefault="00CB7B19" w:rsidP="00AB4A2D">
      <w:pPr>
        <w:pStyle w:val="ListParagraph"/>
        <w:numPr>
          <w:ilvl w:val="0"/>
          <w:numId w:val="9"/>
        </w:numPr>
        <w:spacing w:before="120"/>
        <w:rPr>
          <w:rFonts w:ascii="Calibri" w:hAnsi="Calibri" w:cs="Calibri"/>
        </w:rPr>
      </w:pPr>
      <w:r>
        <w:rPr>
          <w:rFonts w:ascii="Calibri" w:hAnsi="Calibri"/>
        </w:rPr>
        <w:t>Procedurat për Kyçje në rrjetin e Transmisionit /  KOSTT</w:t>
      </w:r>
    </w:p>
    <w:p w14:paraId="2DCE3589" w14:textId="2DF1DCD4" w:rsidR="00C57B19" w:rsidRPr="0033055B" w:rsidRDefault="00C57B19" w:rsidP="00AB4A2D">
      <w:pPr>
        <w:pStyle w:val="ListParagraph"/>
        <w:numPr>
          <w:ilvl w:val="0"/>
          <w:numId w:val="9"/>
        </w:numPr>
        <w:spacing w:before="120"/>
        <w:rPr>
          <w:rFonts w:ascii="Calibri" w:hAnsi="Calibri" w:cs="Calibri"/>
        </w:rPr>
      </w:pPr>
      <w:r>
        <w:rPr>
          <w:rFonts w:ascii="Calibri" w:hAnsi="Calibri"/>
        </w:rPr>
        <w:t>Metodologjia e Tarifave të Kyçjes në Distribucion/  KEDS.</w:t>
      </w:r>
    </w:p>
    <w:p w14:paraId="5AE894E6" w14:textId="77777777" w:rsidR="00C57B19" w:rsidRPr="0033055B" w:rsidRDefault="00C57B19" w:rsidP="00AB4A2D">
      <w:pPr>
        <w:pStyle w:val="ListParagraph"/>
        <w:numPr>
          <w:ilvl w:val="0"/>
          <w:numId w:val="9"/>
        </w:numPr>
        <w:spacing w:before="120"/>
        <w:rPr>
          <w:rFonts w:ascii="Calibri" w:hAnsi="Calibri" w:cs="Calibri"/>
        </w:rPr>
      </w:pPr>
      <w:r>
        <w:rPr>
          <w:rFonts w:ascii="Calibri" w:hAnsi="Calibri"/>
        </w:rPr>
        <w:t>Rregullat teknike për kyçje.</w:t>
      </w:r>
    </w:p>
    <w:p w14:paraId="27A51B04" w14:textId="77777777" w:rsidR="00C57B19" w:rsidRPr="0033055B" w:rsidRDefault="00C57B19" w:rsidP="00AB4A2D">
      <w:pPr>
        <w:pStyle w:val="ListParagraph"/>
        <w:numPr>
          <w:ilvl w:val="0"/>
          <w:numId w:val="9"/>
        </w:numPr>
        <w:spacing w:before="120"/>
        <w:rPr>
          <w:rFonts w:ascii="Calibri" w:hAnsi="Calibri" w:cs="Calibri"/>
        </w:rPr>
      </w:pPr>
      <w:r>
        <w:rPr>
          <w:rFonts w:ascii="Calibri" w:hAnsi="Calibri"/>
        </w:rPr>
        <w:t>Kodi i Njehsimit</w:t>
      </w:r>
    </w:p>
    <w:p w14:paraId="040A2BAB" w14:textId="77777777" w:rsidR="00C57B19" w:rsidRPr="0033055B" w:rsidRDefault="00C57B19" w:rsidP="00AB4A2D">
      <w:pPr>
        <w:pStyle w:val="ListParagraph"/>
        <w:numPr>
          <w:ilvl w:val="0"/>
          <w:numId w:val="9"/>
        </w:numPr>
        <w:spacing w:before="120"/>
        <w:rPr>
          <w:rFonts w:ascii="Calibri" w:hAnsi="Calibri" w:cs="Calibri"/>
        </w:rPr>
      </w:pPr>
      <w:r>
        <w:rPr>
          <w:rFonts w:ascii="Calibri" w:hAnsi="Calibri"/>
        </w:rPr>
        <w:t xml:space="preserve">Kodi i Pajisjeve Elektrike. </w:t>
      </w:r>
    </w:p>
    <w:p w14:paraId="1539EFFA" w14:textId="77777777" w:rsidR="00C57B19" w:rsidRPr="0033055B" w:rsidRDefault="00C57B19" w:rsidP="00AB4A2D">
      <w:pPr>
        <w:pStyle w:val="ListParagraph"/>
        <w:numPr>
          <w:ilvl w:val="0"/>
          <w:numId w:val="9"/>
        </w:numPr>
        <w:spacing w:before="120"/>
        <w:rPr>
          <w:rFonts w:ascii="Calibri" w:hAnsi="Calibri" w:cs="Calibri"/>
        </w:rPr>
      </w:pPr>
      <w:r>
        <w:rPr>
          <w:rFonts w:ascii="Calibri" w:hAnsi="Calibri"/>
        </w:rPr>
        <w:t xml:space="preserve">Kodi i Standardeve Elektrike. </w:t>
      </w:r>
    </w:p>
    <w:p w14:paraId="6AB80DC7" w14:textId="77777777" w:rsidR="00C57B19" w:rsidRPr="0033055B" w:rsidRDefault="00C57B19" w:rsidP="00AB4A2D">
      <w:pPr>
        <w:pStyle w:val="ListParagraph"/>
        <w:numPr>
          <w:ilvl w:val="0"/>
          <w:numId w:val="9"/>
        </w:numPr>
        <w:spacing w:before="120"/>
        <w:rPr>
          <w:rFonts w:ascii="Calibri" w:hAnsi="Calibri" w:cs="Calibri"/>
        </w:rPr>
      </w:pPr>
      <w:r>
        <w:rPr>
          <w:rFonts w:ascii="Calibri" w:hAnsi="Calibri"/>
        </w:rPr>
        <w:t xml:space="preserve">Kodi i praktikave për qasje në tokë dhe hapësira. </w:t>
      </w:r>
    </w:p>
    <w:p w14:paraId="31F581D5" w14:textId="77777777" w:rsidR="00C57B19" w:rsidRPr="0033055B" w:rsidRDefault="00C57B19" w:rsidP="00AB4A2D">
      <w:pPr>
        <w:pStyle w:val="ListParagraph"/>
        <w:numPr>
          <w:ilvl w:val="0"/>
          <w:numId w:val="9"/>
        </w:numPr>
        <w:spacing w:before="120"/>
        <w:rPr>
          <w:rFonts w:ascii="Calibri" w:hAnsi="Calibri" w:cs="Calibri"/>
        </w:rPr>
      </w:pPr>
      <w:r>
        <w:rPr>
          <w:rFonts w:ascii="Calibri" w:hAnsi="Calibri"/>
        </w:rPr>
        <w:t xml:space="preserve">Kodi i Distribucionit. </w:t>
      </w:r>
    </w:p>
    <w:p w14:paraId="3282897E" w14:textId="77777777" w:rsidR="00C57B19" w:rsidRPr="0033055B" w:rsidRDefault="00C57B19" w:rsidP="00AB4A2D">
      <w:pPr>
        <w:pStyle w:val="ListParagraph"/>
        <w:numPr>
          <w:ilvl w:val="0"/>
          <w:numId w:val="9"/>
        </w:numPr>
        <w:spacing w:before="120"/>
        <w:rPr>
          <w:rFonts w:ascii="Calibri" w:hAnsi="Calibri" w:cs="Calibri"/>
        </w:rPr>
      </w:pPr>
      <w:r>
        <w:rPr>
          <w:rFonts w:ascii="Calibri" w:hAnsi="Calibri"/>
        </w:rPr>
        <w:t xml:space="preserve">Kodi i Njehsimit OSSH </w:t>
      </w:r>
    </w:p>
    <w:p w14:paraId="54E17AB1" w14:textId="77777777" w:rsidR="00C57B19" w:rsidRPr="0033055B" w:rsidRDefault="00C57B19" w:rsidP="00C57B19">
      <w:pPr>
        <w:spacing w:before="120" w:after="120" w:line="240" w:lineRule="auto"/>
        <w:jc w:val="both"/>
        <w:rPr>
          <w:rFonts w:cstheme="minorHAnsi"/>
          <w:lang w:val="en-GB"/>
        </w:rPr>
      </w:pPr>
    </w:p>
    <w:p w14:paraId="692CC2EC" w14:textId="77777777" w:rsidR="00C57B19" w:rsidRPr="0033055B" w:rsidRDefault="00C57B19" w:rsidP="00C57B19">
      <w:pPr>
        <w:spacing w:before="120" w:after="120" w:line="240" w:lineRule="auto"/>
        <w:jc w:val="both"/>
        <w:rPr>
          <w:rFonts w:cstheme="minorHAnsi"/>
        </w:rPr>
      </w:pPr>
      <w:r>
        <w:t xml:space="preserve">b) Nga persektiva e integrimit të energjisë së prodhuar nga burimet e ripërtërishme të energjisë në planet zhvillimore të rrjetit të transmisionit dhe atij të shpërndarjes, KOSTT përgatit këto dokumente të planifikimit afatgjatë që rishikohen çdo vit dhe i dorëzohen ZRRE-së për miratim: </w:t>
      </w:r>
    </w:p>
    <w:p w14:paraId="753EC3C7" w14:textId="77777777" w:rsidR="00C57B19" w:rsidRPr="0033055B" w:rsidRDefault="00C57B19" w:rsidP="00AB4A2D">
      <w:pPr>
        <w:pStyle w:val="ListParagraph"/>
        <w:numPr>
          <w:ilvl w:val="0"/>
          <w:numId w:val="9"/>
        </w:numPr>
        <w:spacing w:before="120"/>
        <w:rPr>
          <w:rFonts w:ascii="Calibri" w:hAnsi="Calibri" w:cs="Calibri"/>
        </w:rPr>
      </w:pPr>
      <w:r>
        <w:rPr>
          <w:rFonts w:ascii="Calibri" w:hAnsi="Calibri"/>
        </w:rPr>
        <w:t xml:space="preserve">Plani i Zhvillimit të Transmisionit, për 10 vjet. </w:t>
      </w:r>
    </w:p>
    <w:p w14:paraId="03E9A6A7" w14:textId="77777777" w:rsidR="00C57B19" w:rsidRPr="0033055B" w:rsidRDefault="00C57B19" w:rsidP="00AB4A2D">
      <w:pPr>
        <w:pStyle w:val="ListParagraph"/>
        <w:numPr>
          <w:ilvl w:val="0"/>
          <w:numId w:val="9"/>
        </w:numPr>
        <w:spacing w:before="120"/>
        <w:rPr>
          <w:rFonts w:ascii="Calibri" w:hAnsi="Calibri" w:cs="Calibri"/>
        </w:rPr>
      </w:pPr>
      <w:r>
        <w:rPr>
          <w:rFonts w:ascii="Calibri" w:hAnsi="Calibri"/>
        </w:rPr>
        <w:t xml:space="preserve">Plani i Përshtatshmërisë së Gjenerimit, për 10 vjet. </w:t>
      </w:r>
    </w:p>
    <w:p w14:paraId="35AB03CC" w14:textId="021103FB" w:rsidR="00C57B19" w:rsidRDefault="00C57B19" w:rsidP="00AB4A2D">
      <w:pPr>
        <w:pStyle w:val="ListParagraph"/>
        <w:numPr>
          <w:ilvl w:val="0"/>
          <w:numId w:val="9"/>
        </w:numPr>
        <w:spacing w:before="120"/>
        <w:rPr>
          <w:rFonts w:ascii="Calibri" w:hAnsi="Calibri" w:cs="Calibri"/>
        </w:rPr>
      </w:pPr>
      <w:r>
        <w:rPr>
          <w:rFonts w:ascii="Calibri" w:hAnsi="Calibri"/>
        </w:rPr>
        <w:t xml:space="preserve">Bilanci Afatgjatë i Energjisë Elektrike, për 10 vjet. </w:t>
      </w:r>
    </w:p>
    <w:p w14:paraId="61D26722" w14:textId="36804BEC" w:rsidR="00F455E4" w:rsidRPr="0033055B" w:rsidRDefault="00F455E4" w:rsidP="00AB4A2D">
      <w:pPr>
        <w:pStyle w:val="ListParagraph"/>
        <w:numPr>
          <w:ilvl w:val="0"/>
          <w:numId w:val="9"/>
        </w:numPr>
        <w:spacing w:before="120"/>
        <w:rPr>
          <w:rFonts w:ascii="Calibri" w:hAnsi="Calibri" w:cs="Calibri"/>
        </w:rPr>
      </w:pPr>
      <w:r>
        <w:rPr>
          <w:rFonts w:ascii="Calibri" w:hAnsi="Calibri"/>
        </w:rPr>
        <w:t>Planet investuese për shpërndarje, për 3 vitet e ardhshme.</w:t>
      </w:r>
    </w:p>
    <w:p w14:paraId="7CBD8C9C" w14:textId="77777777" w:rsidR="00C57B19" w:rsidRPr="0033055B" w:rsidRDefault="00C57B19" w:rsidP="00C57B19">
      <w:pPr>
        <w:spacing w:before="120" w:after="120" w:line="240" w:lineRule="auto"/>
        <w:jc w:val="both"/>
        <w:rPr>
          <w:rFonts w:cstheme="minorHAnsi"/>
          <w:lang w:val="en-GB"/>
        </w:rPr>
      </w:pPr>
    </w:p>
    <w:p w14:paraId="0EC84545" w14:textId="77777777" w:rsidR="00C57B19" w:rsidRPr="0033055B" w:rsidRDefault="00C57B19" w:rsidP="00C57B19">
      <w:pPr>
        <w:spacing w:before="120" w:after="120" w:line="240" w:lineRule="auto"/>
        <w:jc w:val="both"/>
        <w:rPr>
          <w:rFonts w:cstheme="minorHAnsi"/>
        </w:rPr>
      </w:pPr>
      <w:r>
        <w:t xml:space="preserve">Këto dokumente marrin parasysh integrimin e energjisë së prodhuar nga burimet e ripërtërishme të energjisë në rrjet. Të gjitha dokumentet publikohen në faqet zyrtare të internetit.  </w:t>
      </w:r>
    </w:p>
    <w:p w14:paraId="341620A3" w14:textId="77777777" w:rsidR="00C57B19" w:rsidRPr="0033055B" w:rsidRDefault="00C57B19" w:rsidP="00C57B19">
      <w:pPr>
        <w:spacing w:before="120" w:after="120" w:line="240" w:lineRule="auto"/>
        <w:jc w:val="both"/>
        <w:rPr>
          <w:rFonts w:cstheme="minorHAnsi"/>
          <w:lang w:val="en-GB"/>
        </w:rPr>
      </w:pPr>
    </w:p>
    <w:p w14:paraId="4FEEEC60" w14:textId="77777777" w:rsidR="00C57B19" w:rsidRPr="0033055B" w:rsidRDefault="00C57B19" w:rsidP="00C57B19">
      <w:pPr>
        <w:spacing w:before="120" w:after="120" w:line="240" w:lineRule="auto"/>
        <w:jc w:val="both"/>
        <w:rPr>
          <w:rFonts w:cstheme="minorHAnsi"/>
        </w:rPr>
      </w:pPr>
      <w:r>
        <w:t xml:space="preserve">c) Rrjeti i energjisë elektrike është në zhvillim të vazhdueshëm sipas planeve zhvillimore. Planet gjithashtu përmbajnë dispozita për rritjen e përdorimit të veglave të teknologjisë informative, si SCADA/EMS nga KOSTT-i. Për momentin, nuk ka plane për stabilimente depozitimi. </w:t>
      </w:r>
    </w:p>
    <w:p w14:paraId="1BEEEC94" w14:textId="77777777" w:rsidR="00C57B19" w:rsidRPr="0033055B" w:rsidRDefault="00C57B19" w:rsidP="00C57B19">
      <w:pPr>
        <w:spacing w:before="120" w:after="120" w:line="240" w:lineRule="auto"/>
        <w:jc w:val="both"/>
        <w:rPr>
          <w:rFonts w:cstheme="minorHAnsi"/>
        </w:rPr>
      </w:pPr>
      <w:r>
        <w:t xml:space="preserve">Për momentin, nuk ka ndonjë veprimtari të lidhur me përdorimin e konceptit të Rrjetit të Mençur. </w:t>
      </w:r>
    </w:p>
    <w:p w14:paraId="37F6AB1B" w14:textId="77777777" w:rsidR="00C57B19" w:rsidRPr="0033055B" w:rsidRDefault="00C57B19" w:rsidP="00C57B19">
      <w:pPr>
        <w:spacing w:before="120" w:after="120" w:line="240" w:lineRule="auto"/>
        <w:jc w:val="both"/>
        <w:rPr>
          <w:rFonts w:cstheme="minorHAnsi"/>
          <w:lang w:val="en-GB"/>
        </w:rPr>
      </w:pPr>
    </w:p>
    <w:p w14:paraId="0D0EED46" w14:textId="05D6826A" w:rsidR="00C57B19" w:rsidRPr="0033055B" w:rsidRDefault="00C57B19" w:rsidP="00C57B19">
      <w:pPr>
        <w:spacing w:before="120" w:after="120" w:line="240" w:lineRule="auto"/>
        <w:jc w:val="both"/>
        <w:rPr>
          <w:rFonts w:cstheme="minorHAnsi"/>
        </w:rPr>
      </w:pPr>
      <w:r>
        <w:t>d) Në lidhje me kapacitetet e interkoneksionit me vendet fqinje, KOSTT-i ende nuk është anëtar i Rrjetit Evropian të Operatorëve të Sistemit të Transmisionit për Energji Elektrike ENTSO/E, si dhe për momentin, EMS (OST i Serbisë) alokon kapacitetet për interkonektorët e Kosovës. Ekzistojnë probleme për shkak të alokimeve të kapaciteteve interkonektuese, si dhe nuk ka kompensim për rrjedhat tranzit. Pritet që gjendja të diskutohet dhe të zgjidhet me implementimin e projekteve vijuese:</w:t>
      </w:r>
    </w:p>
    <w:p w14:paraId="10B14E54" w14:textId="77777777" w:rsidR="00C57B19" w:rsidRPr="0033055B" w:rsidRDefault="00C57B19" w:rsidP="00AB4A2D">
      <w:pPr>
        <w:pStyle w:val="ListParagraph"/>
        <w:numPr>
          <w:ilvl w:val="0"/>
          <w:numId w:val="9"/>
        </w:numPr>
        <w:spacing w:before="120"/>
        <w:rPr>
          <w:rFonts w:ascii="Calibri" w:hAnsi="Calibri" w:cs="Calibri"/>
        </w:rPr>
      </w:pPr>
      <w:r>
        <w:rPr>
          <w:rFonts w:ascii="Calibri" w:hAnsi="Calibri"/>
        </w:rPr>
        <w:t xml:space="preserve">Linja 400 kV me Malin e Zi. </w:t>
      </w:r>
    </w:p>
    <w:p w14:paraId="7D16B352" w14:textId="77777777" w:rsidR="00C57B19" w:rsidRPr="0033055B" w:rsidRDefault="00C57B19" w:rsidP="00AB4A2D">
      <w:pPr>
        <w:pStyle w:val="ListParagraph"/>
        <w:numPr>
          <w:ilvl w:val="0"/>
          <w:numId w:val="9"/>
        </w:numPr>
        <w:spacing w:before="120"/>
        <w:rPr>
          <w:rFonts w:ascii="Calibri" w:hAnsi="Calibri" w:cs="Calibri"/>
        </w:rPr>
      </w:pPr>
      <w:r>
        <w:rPr>
          <w:rFonts w:ascii="Calibri" w:hAnsi="Calibri"/>
        </w:rPr>
        <w:t xml:space="preserve">Linja 400 kV me Maqedoninë, Linja 220 kV me Shqipërinë. </w:t>
      </w:r>
    </w:p>
    <w:p w14:paraId="6AEA4394" w14:textId="77777777" w:rsidR="00C57B19" w:rsidRPr="0033055B" w:rsidRDefault="00C57B19" w:rsidP="00AB4A2D">
      <w:pPr>
        <w:pStyle w:val="ListParagraph"/>
        <w:numPr>
          <w:ilvl w:val="0"/>
          <w:numId w:val="9"/>
        </w:numPr>
        <w:spacing w:before="120"/>
        <w:rPr>
          <w:rFonts w:ascii="Calibri" w:hAnsi="Calibri" w:cs="Calibri"/>
        </w:rPr>
      </w:pPr>
      <w:r>
        <w:rPr>
          <w:rFonts w:ascii="Calibri" w:hAnsi="Calibri"/>
        </w:rPr>
        <w:t xml:space="preserve">Linja 400 kV me Serbinë ende nuk konsiderohet si interkonektor. </w:t>
      </w:r>
    </w:p>
    <w:p w14:paraId="382F6918" w14:textId="77777777" w:rsidR="00C57B19" w:rsidRPr="0033055B" w:rsidRDefault="00C57B19" w:rsidP="00C57B19">
      <w:pPr>
        <w:spacing w:before="120" w:after="120" w:line="240" w:lineRule="auto"/>
        <w:jc w:val="both"/>
        <w:rPr>
          <w:rFonts w:cstheme="minorHAnsi"/>
        </w:rPr>
      </w:pPr>
      <w:r>
        <w:t xml:space="preserve">Në bazë të PZHRRT-së, si dhe studimeve relevante për zhvillimin e sistemit të transmisionit, disa projekte tejet të rëndësishme janë paraparë, me ndikim të brendshëm e rajonal mbi sigurinë dhe besueshmërinë e sistemeve të transmisionit: </w:t>
      </w:r>
    </w:p>
    <w:p w14:paraId="0DDF9FF4" w14:textId="77777777" w:rsidR="00C57B19" w:rsidRPr="0033055B" w:rsidRDefault="00C57B19" w:rsidP="00AB4A2D">
      <w:pPr>
        <w:pStyle w:val="ListParagraph"/>
        <w:numPr>
          <w:ilvl w:val="0"/>
          <w:numId w:val="9"/>
        </w:numPr>
        <w:spacing w:before="120"/>
        <w:rPr>
          <w:rFonts w:ascii="Calibri" w:hAnsi="Calibri" w:cs="Calibri"/>
        </w:rPr>
      </w:pPr>
      <w:r>
        <w:rPr>
          <w:rFonts w:ascii="Calibri" w:hAnsi="Calibri"/>
        </w:rPr>
        <w:t>Linja 400 kV Kosovë – Shqipëri, me kapacitet 1300 MVA.</w:t>
      </w:r>
    </w:p>
    <w:p w14:paraId="57080C23" w14:textId="77777777" w:rsidR="00C57B19" w:rsidRPr="0033055B" w:rsidRDefault="00C57B19" w:rsidP="00AB4A2D">
      <w:pPr>
        <w:pStyle w:val="ListParagraph"/>
        <w:numPr>
          <w:ilvl w:val="0"/>
          <w:numId w:val="9"/>
        </w:numPr>
        <w:spacing w:before="120"/>
        <w:rPr>
          <w:rFonts w:ascii="Calibri" w:hAnsi="Calibri" w:cs="Calibri"/>
        </w:rPr>
      </w:pPr>
      <w:r>
        <w:rPr>
          <w:rFonts w:ascii="Calibri" w:hAnsi="Calibri"/>
        </w:rPr>
        <w:t>Linja 400 kV Kosovë – Maqedoni, me kapacitet 1300 MVA.</w:t>
      </w:r>
    </w:p>
    <w:p w14:paraId="6AC672E7" w14:textId="77777777" w:rsidR="00C57B19" w:rsidRPr="0033055B" w:rsidRDefault="00C57B19" w:rsidP="00C57B19">
      <w:pPr>
        <w:spacing w:before="120" w:after="120" w:line="240" w:lineRule="auto"/>
        <w:jc w:val="both"/>
        <w:rPr>
          <w:rFonts w:cstheme="minorHAnsi"/>
          <w:lang w:val="en-GB"/>
        </w:rPr>
      </w:pPr>
    </w:p>
    <w:p w14:paraId="5A33001A" w14:textId="77777777" w:rsidR="00C57B19" w:rsidRPr="0033055B" w:rsidRDefault="00C57B19" w:rsidP="00C57B19">
      <w:pPr>
        <w:spacing w:before="120" w:after="120" w:line="240" w:lineRule="auto"/>
        <w:jc w:val="both"/>
        <w:rPr>
          <w:rFonts w:cstheme="minorHAnsi"/>
        </w:rPr>
      </w:pPr>
      <w:r>
        <w:t>e)</w:t>
      </w:r>
      <w:r>
        <w:tab/>
        <w:t xml:space="preserve">Sa i përket procedurës së autorizimit për infrastrukturën e rrjetit, gjendja aktuale dhe koha mesatare për marrjen e aprovimeve, gjendja është si vijon: Pas kryerjes së autorizimit preliminar tek ZRRE-ja, zhvilluesit e kapaciteteve të ardhme të energjisë së ripërtërishme aplikojnë ose tek operatori i rrjetit të transmisionit ose tek OSSH-ja, varësisht nga vlerësimi i tyre i mundësive të kyçjes. </w:t>
      </w:r>
    </w:p>
    <w:p w14:paraId="7197CCC5" w14:textId="32B1744D" w:rsidR="00C57B19" w:rsidRPr="0033055B" w:rsidRDefault="00C57B19" w:rsidP="00C57B19">
      <w:pPr>
        <w:spacing w:before="120" w:after="120" w:line="240" w:lineRule="auto"/>
        <w:jc w:val="both"/>
        <w:rPr>
          <w:rFonts w:cstheme="minorHAnsi"/>
          <w:strike/>
        </w:rPr>
      </w:pPr>
      <w:r>
        <w:t xml:space="preserve">Dokumenti i aplikimit përbëhet nga të gjitha të dhënat relevante të projektit që nevojiten për modelin kompjuterik, kohën e planifikuar të komisionimit, etj. Në bazë të atyrë të dhënave, inxhinierët e planifikimit analizojnë ndikimin e projektit dhe propozojnë zgjidhjen më të mirë për kyçje. Procedurat (afatet kohore deri në lidhje të marrëveshjes për Kyçje) përshkruhen në Metodologjinë e Tarifave të Kyçjes. </w:t>
      </w:r>
    </w:p>
    <w:p w14:paraId="67978DE9" w14:textId="77777777" w:rsidR="00E2039D" w:rsidRPr="0033055B" w:rsidRDefault="00E2039D" w:rsidP="00E2039D">
      <w:pPr>
        <w:spacing w:before="120" w:after="120" w:line="240" w:lineRule="auto"/>
        <w:jc w:val="both"/>
        <w:rPr>
          <w:rFonts w:cstheme="minorHAnsi"/>
        </w:rPr>
      </w:pPr>
      <w:r>
        <w:t>Operatori i transmisionit, sistemi dhe Tregut i Kosovës (KOSTT) ka hartuar dy dokumente, që sigurojnë transmetimin dhe shpërndarjen e energjisë elektrike nga BRE-të:</w:t>
      </w:r>
    </w:p>
    <w:p w14:paraId="3C2C16A9" w14:textId="77777777" w:rsidR="00E2039D" w:rsidRPr="0033055B" w:rsidRDefault="00E2039D" w:rsidP="00E2039D">
      <w:pPr>
        <w:spacing w:before="120" w:after="120" w:line="240" w:lineRule="auto"/>
        <w:jc w:val="both"/>
        <w:rPr>
          <w:rFonts w:cstheme="minorHAnsi"/>
        </w:rPr>
      </w:pPr>
      <w:r>
        <w:t>1.</w:t>
      </w:r>
      <w:r>
        <w:tab/>
        <w:t xml:space="preserve">Metodologjia e Tarifave të Kyçjes në Transmision   </w:t>
      </w:r>
    </w:p>
    <w:p w14:paraId="026E2445" w14:textId="77777777" w:rsidR="00E2039D" w:rsidRPr="0033055B" w:rsidRDefault="00E2039D" w:rsidP="00E2039D">
      <w:pPr>
        <w:spacing w:before="120" w:after="120" w:line="240" w:lineRule="auto"/>
        <w:jc w:val="both"/>
        <w:rPr>
          <w:rFonts w:cstheme="minorHAnsi"/>
        </w:rPr>
      </w:pPr>
      <w:r>
        <w:t>2.</w:t>
      </w:r>
      <w:r>
        <w:tab/>
        <w:t xml:space="preserve">Procedurat për Kyçje në rrjetin e Transmisionit   </w:t>
      </w:r>
    </w:p>
    <w:p w14:paraId="7924D547" w14:textId="77777777" w:rsidR="00BD6482" w:rsidRDefault="00BD6482" w:rsidP="00E2039D">
      <w:pPr>
        <w:spacing w:before="120" w:after="120" w:line="240" w:lineRule="auto"/>
        <w:jc w:val="both"/>
        <w:rPr>
          <w:rFonts w:cstheme="minorHAnsi"/>
          <w:lang w:val="en-GB"/>
        </w:rPr>
      </w:pPr>
    </w:p>
    <w:p w14:paraId="56721A7F" w14:textId="2FB62136" w:rsidR="00E2039D" w:rsidRPr="0033055B" w:rsidRDefault="00E2039D" w:rsidP="00E2039D">
      <w:pPr>
        <w:spacing w:before="120" w:after="120" w:line="240" w:lineRule="auto"/>
        <w:jc w:val="both"/>
        <w:rPr>
          <w:rFonts w:cstheme="minorHAnsi"/>
        </w:rPr>
      </w:pPr>
      <w:r>
        <w:t xml:space="preserve">Këto dokumente rregullojnë vlerësimin e shpenzimeve të kyçjes në rrjet që lidhen me kyçjen e gjeneratorin (përfshirë BRE-të) në rrjetin e transmisionit. Gjithashtu, në versionin më të fundit të Ligjit për Energjinë Elektrike, janë hartuar të ashtuquajturat Dizajni i Tregut dhe Rregullat e Tregut nga KOSTT-i (sistemi i Transmisionit dhe operatori i Tregut) si dhe janë miratuar nga ZRRE-ja, duke i dhënë prioritet dispeçingut të BRE-ve. </w:t>
      </w:r>
      <w:r>
        <w:tab/>
      </w:r>
    </w:p>
    <w:p w14:paraId="726F5327" w14:textId="77777777" w:rsidR="00E2039D" w:rsidRPr="0033055B" w:rsidRDefault="00E2039D" w:rsidP="00E2039D">
      <w:pPr>
        <w:spacing w:before="120" w:after="120" w:line="240" w:lineRule="auto"/>
        <w:jc w:val="both"/>
        <w:rPr>
          <w:rFonts w:cstheme="minorHAnsi"/>
        </w:rPr>
      </w:pPr>
      <w:r>
        <w:t xml:space="preserve">Varësisht nga “Procedurat për Kyçje në rrjetin e Transmisionit” si dhe ‘’Metodologjisë së Tarifave të Kyçjes në Transmision”, koha nga Aplikimi për Kyçje e deri në nënshkrimin e Marrëveshjes për Kyçje në Transmision është si vijon: </w:t>
      </w:r>
    </w:p>
    <w:p w14:paraId="33D5E7EB" w14:textId="77777777" w:rsidR="00E2039D" w:rsidRPr="0033055B" w:rsidRDefault="00E2039D" w:rsidP="00E2039D">
      <w:pPr>
        <w:spacing w:before="120" w:after="120" w:line="240" w:lineRule="auto"/>
        <w:jc w:val="both"/>
        <w:rPr>
          <w:rFonts w:cstheme="minorHAnsi"/>
        </w:rPr>
      </w:pPr>
      <w:r>
        <w:t>Dita 0</w:t>
      </w:r>
    </w:p>
    <w:p w14:paraId="302EF9D0" w14:textId="77777777" w:rsidR="00E2039D" w:rsidRPr="0033055B" w:rsidRDefault="00E2039D" w:rsidP="00E2039D">
      <w:pPr>
        <w:spacing w:before="120" w:after="120" w:line="240" w:lineRule="auto"/>
        <w:jc w:val="both"/>
        <w:rPr>
          <w:rFonts w:cstheme="minorHAnsi"/>
        </w:rPr>
      </w:pPr>
      <w:r>
        <w:t xml:space="preserve">Aplikuesi dorëzon Aplikimin për Kyçje tek rrjeti i transmisionit, bashkë me dëshminë e pagesës, përmes postës apo drejtpërdrejt në Zyrën e Arkivit në KOSTT (nëse aplikacioni dorëzohet me postë, numërimi i ditëve fillon kur KOSTT-i të pranojë aplikimin). </w:t>
      </w:r>
    </w:p>
    <w:p w14:paraId="1532796E" w14:textId="77777777" w:rsidR="00E2039D" w:rsidRPr="0033055B" w:rsidRDefault="00E2039D" w:rsidP="00E2039D">
      <w:pPr>
        <w:spacing w:before="120" w:after="120" w:line="240" w:lineRule="auto"/>
        <w:jc w:val="both"/>
        <w:rPr>
          <w:rFonts w:cstheme="minorHAnsi"/>
        </w:rPr>
      </w:pPr>
      <w:r>
        <w:t>Ditët 1-30</w:t>
      </w:r>
    </w:p>
    <w:p w14:paraId="4C6934C5" w14:textId="77777777" w:rsidR="00E2039D" w:rsidRPr="0033055B" w:rsidRDefault="00E2039D" w:rsidP="00E2039D">
      <w:pPr>
        <w:spacing w:before="120" w:after="120" w:line="240" w:lineRule="auto"/>
        <w:jc w:val="both"/>
        <w:rPr>
          <w:rFonts w:cstheme="minorHAnsi"/>
        </w:rPr>
      </w:pPr>
      <w:r>
        <w:t>KOSTT-i shqyrton dhe nxjerr konstatimin nëse kyçja e planifikuar me Aplikimin e Kyçjes është (apo nuk është) teknikisht dhe ekonomikisht e mundur, si dhe në pajtim me dispozitat e Kodit të Rrjetit, përmbush kushtet dhe nuk paraqet problem për operimin e sigurt të sistemit të transmisionit. KOSTT-i, në bazë të analizës dhe shqyrtimit, përgatit dhe i dorëzon Aplikuesit njoftimin e mundësisë së kyçjes në Rrjetin e Transmisionit, ose pamundësinë e saj.</w:t>
      </w:r>
    </w:p>
    <w:p w14:paraId="7B1A522A" w14:textId="77777777" w:rsidR="00E2039D" w:rsidRPr="0033055B" w:rsidRDefault="00E2039D" w:rsidP="00E2039D">
      <w:pPr>
        <w:spacing w:before="120" w:after="120" w:line="240" w:lineRule="auto"/>
        <w:jc w:val="both"/>
        <w:rPr>
          <w:rFonts w:cstheme="minorHAnsi"/>
        </w:rPr>
      </w:pPr>
      <w:r>
        <w:t>Ditët 31-90</w:t>
      </w:r>
    </w:p>
    <w:p w14:paraId="3BCF04FA" w14:textId="77777777" w:rsidR="00E2039D" w:rsidRPr="0033055B" w:rsidRDefault="00E2039D" w:rsidP="00E2039D">
      <w:pPr>
        <w:spacing w:before="120" w:after="120" w:line="240" w:lineRule="auto"/>
        <w:jc w:val="both"/>
        <w:rPr>
          <w:rFonts w:cstheme="minorHAnsi"/>
        </w:rPr>
      </w:pPr>
      <w:r>
        <w:t xml:space="preserve">KOSTT-i përgatit Ofertën e Kyçjes, të cilën ia dërgon Aplikuesit, bashkë me projekt-Marrëveshjen për Kyçje në Rrjetin e Transmisionit. </w:t>
      </w:r>
    </w:p>
    <w:p w14:paraId="0FFEBE12" w14:textId="77777777" w:rsidR="00E2039D" w:rsidRPr="0033055B" w:rsidRDefault="00E2039D" w:rsidP="00E2039D">
      <w:pPr>
        <w:spacing w:before="120" w:after="120" w:line="240" w:lineRule="auto"/>
        <w:jc w:val="both"/>
        <w:rPr>
          <w:rFonts w:cstheme="minorHAnsi"/>
        </w:rPr>
      </w:pPr>
      <w:r>
        <w:t>Ditët 91-120</w:t>
      </w:r>
    </w:p>
    <w:p w14:paraId="3ACE6473" w14:textId="77777777" w:rsidR="00E2039D" w:rsidRPr="0033055B" w:rsidRDefault="00E2039D" w:rsidP="00E2039D">
      <w:pPr>
        <w:spacing w:before="120" w:after="120" w:line="240" w:lineRule="auto"/>
        <w:jc w:val="both"/>
        <w:rPr>
          <w:rFonts w:cstheme="minorHAnsi"/>
        </w:rPr>
      </w:pPr>
      <w:r>
        <w:t xml:space="preserve">Aplikuesi shqyrton Ofertën e Kyçjes për rrjetin e transmisionit të dorëzuar nga KOSTT-i, të cilën pastaj mund ta nënshkruajë. </w:t>
      </w:r>
    </w:p>
    <w:p w14:paraId="1AF05431" w14:textId="77777777" w:rsidR="00E2039D" w:rsidRPr="0033055B" w:rsidRDefault="00E2039D" w:rsidP="00E2039D">
      <w:pPr>
        <w:spacing w:before="120" w:after="120" w:line="240" w:lineRule="auto"/>
        <w:jc w:val="both"/>
        <w:rPr>
          <w:rFonts w:cstheme="minorHAnsi"/>
        </w:rPr>
      </w:pPr>
      <w:r>
        <w:t>Ditët 121-150</w:t>
      </w:r>
    </w:p>
    <w:p w14:paraId="10DA8910" w14:textId="77777777" w:rsidR="00E2039D" w:rsidRPr="0033055B" w:rsidRDefault="00E2039D" w:rsidP="00E2039D">
      <w:pPr>
        <w:spacing w:before="120" w:after="120" w:line="240" w:lineRule="auto"/>
        <w:jc w:val="both"/>
        <w:rPr>
          <w:rFonts w:cstheme="minorHAnsi"/>
        </w:rPr>
      </w:pPr>
      <w:r>
        <w:t>Aplikuesi dhe KOSTT-i shqyrtojnë/negociojnë dhe nënshkruajnë Marrëveshjen për Kyçje në Rrjetin e Transmisionit.</w:t>
      </w:r>
    </w:p>
    <w:p w14:paraId="2AC8D333" w14:textId="77777777" w:rsidR="00E2039D" w:rsidRPr="0033055B" w:rsidRDefault="00E2039D" w:rsidP="00E2039D">
      <w:pPr>
        <w:spacing w:before="120" w:after="120" w:line="240" w:lineRule="auto"/>
        <w:jc w:val="both"/>
        <w:rPr>
          <w:rFonts w:cstheme="minorHAnsi"/>
        </w:rPr>
      </w:pPr>
      <w:r>
        <w:t>Varet nga ndërlikueshmëria e projektit, por afati maksimal për marrjen e aprovimit për kyçje është 150 ditë. Rrjeti i transmisionit është mjaft i zhvilluar, si dhe sa i përket rrjedhës së energjisë, cilësisë së tensionit me kriter N-1, sigurisë së sistemit dhe besueshmërisë, mund të ofrojë kyçje të kapaciteteve të konsiderueshme të BRE-ve në rrjetin e transmisionit. Në bazë të potencialit të BRE-ve, kyçja më e mundshme e BRE-ve (zakonisht erës dhe HC-të) do të jetë në rrjetin 110 kV.</w:t>
      </w:r>
    </w:p>
    <w:p w14:paraId="755B21B1" w14:textId="77777777" w:rsidR="00E2039D" w:rsidRPr="0033055B" w:rsidRDefault="00E2039D" w:rsidP="00E2039D">
      <w:pPr>
        <w:spacing w:before="120" w:after="120" w:line="240" w:lineRule="auto"/>
        <w:jc w:val="both"/>
        <w:rPr>
          <w:rFonts w:cstheme="minorHAnsi"/>
        </w:rPr>
      </w:pPr>
      <w:r>
        <w:t>Në bazë të marrëveshjes tashmë të nënshkruar për kyçje të HC-së dhe Projektit të Erës, kohëzgjatja nga data e aplikimit e deri në datën e marrëveshjes së nënshkruar mes KOSTT-it dhe aplikuesit është 90 ditë.</w:t>
      </w:r>
    </w:p>
    <w:p w14:paraId="44287F28" w14:textId="77777777" w:rsidR="00E2039D" w:rsidRPr="0033055B" w:rsidRDefault="00E2039D" w:rsidP="00E2039D">
      <w:pPr>
        <w:spacing w:before="120" w:after="120" w:line="240" w:lineRule="auto"/>
        <w:jc w:val="both"/>
        <w:rPr>
          <w:rFonts w:cstheme="minorHAnsi"/>
        </w:rPr>
      </w:pPr>
      <w:r>
        <w:t>Disa impiante prodhuese të energjisë elektrike të ripërtërishme priten të integrohen së shpejti në tregun e energjisë elektrike. Të gjitha Palët e licencuara për gjenerimin e energjisë elektrike nga burimet e ripërtërishme i nënshtrohen Rregullave të Tregut.</w:t>
      </w:r>
    </w:p>
    <w:p w14:paraId="60A3051C" w14:textId="77777777" w:rsidR="00E2039D" w:rsidRPr="0033055B" w:rsidRDefault="00E2039D" w:rsidP="00C57B19">
      <w:pPr>
        <w:spacing w:before="120" w:after="120" w:line="240" w:lineRule="auto"/>
        <w:jc w:val="both"/>
        <w:rPr>
          <w:rFonts w:cstheme="minorHAnsi"/>
          <w:strike/>
          <w:lang w:val="en-GB"/>
        </w:rPr>
      </w:pPr>
    </w:p>
    <w:p w14:paraId="6907EC5E" w14:textId="77777777" w:rsidR="00C57B19" w:rsidRPr="0033055B" w:rsidRDefault="00C57B19" w:rsidP="00C57B19">
      <w:pPr>
        <w:spacing w:before="120" w:after="120" w:line="240" w:lineRule="auto"/>
        <w:jc w:val="both"/>
        <w:rPr>
          <w:rFonts w:cstheme="minorHAnsi"/>
        </w:rPr>
      </w:pPr>
      <w:r>
        <w:t xml:space="preserve">Ndërtimi i kyçjes në rrjet bëhet nga zhvilluesi, sipas dizajnit të miratuar nga operatori i sistemit. Pas ndërtimit të suksesshëm, mbikëqyrur nga operatori i sistemit, instalimi i kyçjes në rrjet i dorëzohet operatorit të sistemit për operim dhe mirëmbajtje. Përshtatjet teknike të rrjetit, të nevojshme për kyçje, bëhen sipas planit të zhvillimit të rrjetit, si dhe ekzekutohen para ndërtimit të gjeneratorit me BRE. </w:t>
      </w:r>
    </w:p>
    <w:p w14:paraId="7003D33F" w14:textId="77777777" w:rsidR="00C57B19" w:rsidRPr="0033055B" w:rsidRDefault="00C57B19" w:rsidP="00C57B19">
      <w:pPr>
        <w:spacing w:before="120" w:after="120" w:line="240" w:lineRule="auto"/>
        <w:jc w:val="both"/>
        <w:rPr>
          <w:rFonts w:cstheme="minorHAnsi"/>
          <w:lang w:val="en-GB"/>
        </w:rPr>
      </w:pPr>
    </w:p>
    <w:p w14:paraId="5DCC16D0" w14:textId="77777777" w:rsidR="00C57B19" w:rsidRPr="0033055B" w:rsidRDefault="00C57B19" w:rsidP="00C57B19">
      <w:pPr>
        <w:spacing w:before="120" w:after="120" w:line="240" w:lineRule="auto"/>
        <w:jc w:val="both"/>
        <w:rPr>
          <w:rFonts w:cstheme="minorHAnsi"/>
        </w:rPr>
      </w:pPr>
      <w:r>
        <w:t>f)</w:t>
      </w:r>
      <w:r>
        <w:tab/>
        <w:t xml:space="preserve">Bashkërendimi ndërmjet miratimit të infrastrukturës së rrjetit dhe procedurave tjera të planifikimit administrativ bëhet përmes ZRRE-së, pasi që ky subjekt nxjerr autorizimin preliminar të vlefshëm për dy vjet, si dhe miraton të gjitha rishikimet vjetore të planeve zhvillimore të rrjetit energjetik. Aprovimi i Aplikimit për kyçje pason autorizimin preliminar si dhe miratimi përfundimtar i ZRRE-së është i mundur vetëm pas miratimit të kyçjes. </w:t>
      </w:r>
    </w:p>
    <w:p w14:paraId="79941E5F" w14:textId="77777777" w:rsidR="00C57B19" w:rsidRPr="0033055B" w:rsidRDefault="00C57B19" w:rsidP="00C57B19">
      <w:pPr>
        <w:spacing w:before="120" w:after="120" w:line="240" w:lineRule="auto"/>
        <w:jc w:val="both"/>
        <w:rPr>
          <w:rFonts w:cstheme="minorHAnsi"/>
          <w:lang w:val="en-GB"/>
        </w:rPr>
      </w:pPr>
    </w:p>
    <w:p w14:paraId="425E2988" w14:textId="77777777" w:rsidR="00C57B19" w:rsidRPr="0033055B" w:rsidRDefault="00C57B19" w:rsidP="00C57B19">
      <w:pPr>
        <w:spacing w:before="120" w:after="120" w:line="240" w:lineRule="auto"/>
        <w:jc w:val="both"/>
        <w:rPr>
          <w:rFonts w:cstheme="minorHAnsi"/>
        </w:rPr>
      </w:pPr>
      <w:r>
        <w:t>g)</w:t>
      </w:r>
      <w:r>
        <w:tab/>
        <w:t xml:space="preserve">Të drejtat e përparësisë së kyçjes apo kapaciteteve të rezervuara për instalimet e reja që prodhojnë energji elektrike nga burimet e ripërtërishme të energjisë bazohen në listën e aplikuesve të regjistruar në ZRRE dhe të dorëzuar nga operatori i rrjetit, në përputhje me planin e rrjetit dhe procedurat për BRE.  </w:t>
      </w:r>
    </w:p>
    <w:p w14:paraId="316C2C89" w14:textId="77777777" w:rsidR="00C57B19" w:rsidRPr="0033055B" w:rsidRDefault="00C57B19" w:rsidP="00C57B19">
      <w:pPr>
        <w:spacing w:before="120" w:after="120" w:line="240" w:lineRule="auto"/>
        <w:jc w:val="both"/>
        <w:rPr>
          <w:rFonts w:cstheme="minorHAnsi"/>
          <w:lang w:val="en-GB"/>
        </w:rPr>
      </w:pPr>
    </w:p>
    <w:p w14:paraId="1DF54D5A" w14:textId="77777777" w:rsidR="00C57B19" w:rsidRPr="0033055B" w:rsidRDefault="00C57B19" w:rsidP="00C57B19">
      <w:pPr>
        <w:spacing w:before="120" w:after="120" w:line="240" w:lineRule="auto"/>
        <w:jc w:val="both"/>
        <w:rPr>
          <w:rFonts w:cstheme="minorHAnsi"/>
        </w:rPr>
      </w:pPr>
      <w:r>
        <w:t xml:space="preserve">h) Nuk ka raste të instalimeve të ripërtërishme të gatshme për të hyrë në funksion, por që nuk janë lidhur për shkak të kufizimeve të rrjetit në aspektin e kapaciteteve.  </w:t>
      </w:r>
    </w:p>
    <w:p w14:paraId="66A53768" w14:textId="77777777" w:rsidR="00C57B19" w:rsidRPr="0033055B" w:rsidRDefault="00C57B19" w:rsidP="00C57B19">
      <w:pPr>
        <w:spacing w:before="120" w:after="120" w:line="240" w:lineRule="auto"/>
        <w:jc w:val="both"/>
        <w:rPr>
          <w:rFonts w:cstheme="minorHAnsi"/>
          <w:lang w:val="en-GB"/>
        </w:rPr>
      </w:pPr>
    </w:p>
    <w:p w14:paraId="6B4B7615" w14:textId="77777777" w:rsidR="00C57B19" w:rsidRPr="0033055B" w:rsidRDefault="00C57B19" w:rsidP="00C57B19">
      <w:pPr>
        <w:spacing w:before="120" w:after="120" w:line="240" w:lineRule="auto"/>
        <w:jc w:val="both"/>
        <w:rPr>
          <w:rFonts w:cstheme="minorHAnsi"/>
        </w:rPr>
      </w:pPr>
      <w:r>
        <w:t>i)</w:t>
      </w:r>
      <w:r>
        <w:tab/>
        <w:t xml:space="preserve">Sa i përket ndarjes së shpenzimeve si dhe bartjes së përshtatjeve teknike të rrjetit që caktohen dhe publikohen nga operatori i sistemit të transmisionit dhe ai i distribucionit, rregullat janë përshkruar në Metodologjinë e Tarifave të Kyçjes, që miratohet nga ZRRE-ja, kështu që janë siguruar kriteret objektive, transparente e jo-diskriminuese. Rregullat janë në dispozicion në faqen e internetit të KOSTT-it.  </w:t>
      </w:r>
    </w:p>
    <w:p w14:paraId="48FDF3A6" w14:textId="77777777" w:rsidR="00C57B19" w:rsidRPr="0033055B" w:rsidRDefault="00C57B19" w:rsidP="00C57B19">
      <w:pPr>
        <w:spacing w:before="120" w:after="120" w:line="240" w:lineRule="auto"/>
        <w:jc w:val="both"/>
        <w:rPr>
          <w:rFonts w:cstheme="minorHAnsi"/>
          <w:lang w:val="en-GB"/>
        </w:rPr>
      </w:pPr>
    </w:p>
    <w:p w14:paraId="5178F00F" w14:textId="77777777" w:rsidR="00C57B19" w:rsidRPr="0033055B" w:rsidRDefault="00C57B19" w:rsidP="00C57B19">
      <w:pPr>
        <w:spacing w:before="120" w:after="120" w:line="240" w:lineRule="auto"/>
        <w:jc w:val="both"/>
        <w:rPr>
          <w:rFonts w:cstheme="minorHAnsi"/>
        </w:rPr>
      </w:pPr>
      <w:r>
        <w:t>j)</w:t>
      </w:r>
      <w:r>
        <w:tab/>
        <w:t xml:space="preserve">Në bazë të Metodologjisë së Tarifave të Kyçjes, të gjitha shpenzimet e përshtatjes teknike dhe të kyçjes barten nga gjeneratorët, si dhe rregullat janë të njëjta për të gjitha llojet e gjeneratorëve. Metodologjia gjithashtu përmban ngarkesa për kyçjet e thella.  </w:t>
      </w:r>
    </w:p>
    <w:p w14:paraId="279E579A" w14:textId="77777777" w:rsidR="00C57B19" w:rsidRPr="0033055B" w:rsidRDefault="00C57B19" w:rsidP="00C57B19">
      <w:pPr>
        <w:spacing w:before="120" w:after="120" w:line="240" w:lineRule="auto"/>
        <w:jc w:val="both"/>
        <w:rPr>
          <w:rFonts w:cstheme="minorHAnsi"/>
        </w:rPr>
      </w:pPr>
      <w:r>
        <w:t xml:space="preserve">Ekzistojnë plane të ndryshimeve të mundshme të metodologjisë për kyçje në rrjetin e shpërndarjes. </w:t>
      </w:r>
    </w:p>
    <w:p w14:paraId="009374DC" w14:textId="77777777" w:rsidR="00C57B19" w:rsidRPr="0033055B" w:rsidRDefault="00C57B19" w:rsidP="00C57B19">
      <w:pPr>
        <w:spacing w:before="120" w:after="120" w:line="240" w:lineRule="auto"/>
        <w:jc w:val="both"/>
        <w:rPr>
          <w:rFonts w:cstheme="minorHAnsi"/>
          <w:lang w:val="en-GB"/>
        </w:rPr>
      </w:pPr>
    </w:p>
    <w:p w14:paraId="33F6BB18" w14:textId="77777777" w:rsidR="00C57B19" w:rsidRPr="0033055B" w:rsidRDefault="00C57B19" w:rsidP="00C57B19">
      <w:pPr>
        <w:spacing w:before="120" w:after="120" w:line="240" w:lineRule="auto"/>
        <w:jc w:val="both"/>
        <w:rPr>
          <w:rFonts w:cstheme="minorHAnsi"/>
        </w:rPr>
      </w:pPr>
      <w:r>
        <w:t>k)</w:t>
      </w:r>
      <w:r>
        <w:tab/>
        <w:t xml:space="preserve">Sipas Metodologjisë së Tarifave të Kyçjes, gjeneratorët e kyçur më pastaj do të ndajnë koston e kyçjes me gjeneratorët fillimisht të kyçur, në proporcion me kapacitetin e instaluar. </w:t>
      </w:r>
    </w:p>
    <w:p w14:paraId="1B7450C7" w14:textId="77777777" w:rsidR="00E2039D" w:rsidRPr="0033055B" w:rsidRDefault="00E2039D" w:rsidP="00C57B19">
      <w:pPr>
        <w:spacing w:before="120" w:after="120" w:line="240" w:lineRule="auto"/>
        <w:jc w:val="both"/>
        <w:rPr>
          <w:rFonts w:cstheme="minorHAnsi"/>
          <w:lang w:val="en-GB"/>
        </w:rPr>
      </w:pPr>
    </w:p>
    <w:p w14:paraId="584BA517" w14:textId="77777777" w:rsidR="00C57B19" w:rsidRPr="0033055B" w:rsidRDefault="00C57B19" w:rsidP="00C57B19">
      <w:pPr>
        <w:spacing w:before="120" w:after="120" w:line="240" w:lineRule="auto"/>
        <w:jc w:val="both"/>
        <w:rPr>
          <w:rFonts w:cstheme="minorHAnsi"/>
        </w:rPr>
      </w:pPr>
      <w:r>
        <w:t>l)</w:t>
      </w:r>
      <w:r>
        <w:tab/>
        <w:t xml:space="preserve">Operatorët e sistemit të transmisionit dhe distribucionit i japin gjeneratorëve të rinj informatat për shpenzime, kornizën e saktë të afateve për trajtimin e kërkesave të tyre, si dhe afatet indikative për kyçjen e tyre në rrjet, në mënyrën vijuese: </w:t>
      </w:r>
    </w:p>
    <w:p w14:paraId="69094DCA" w14:textId="77777777" w:rsidR="00C57B19" w:rsidRPr="0033055B" w:rsidRDefault="00C57B19" w:rsidP="00C57B19">
      <w:pPr>
        <w:spacing w:before="120" w:after="120" w:line="240" w:lineRule="auto"/>
        <w:jc w:val="both"/>
        <w:rPr>
          <w:rFonts w:cstheme="minorHAnsi"/>
        </w:rPr>
      </w:pPr>
      <w:r>
        <w:t xml:space="preserve">Trajtimi i kërkesave është përshkruar në Metodologjinë e Tarifave të Kyçjes, miratuar nga ZRRE.  </w:t>
      </w:r>
    </w:p>
    <w:p w14:paraId="24FA2C3B" w14:textId="77777777" w:rsidR="00C57B19" w:rsidRPr="0033055B" w:rsidRDefault="00C57B19" w:rsidP="00C57B19">
      <w:pPr>
        <w:spacing w:before="120" w:after="120" w:line="240" w:lineRule="auto"/>
        <w:jc w:val="both"/>
        <w:rPr>
          <w:rFonts w:cstheme="minorHAnsi"/>
        </w:rPr>
      </w:pPr>
      <w:r>
        <w:t xml:space="preserve">OST (KOSTT) ofron projeksionin e detajuar të shpenzimeve për investitorët potencialë. Zakonisht 1-2 muaj pas kompletimit të aplikacionit, gjeneratori i interesuar merr informatën e përafërt të shpenzimeve të kyçjes. </w:t>
      </w:r>
    </w:p>
    <w:p w14:paraId="2C7F91DA" w14:textId="77777777" w:rsidR="005E4A0E" w:rsidRPr="0033055B" w:rsidRDefault="00C57B19" w:rsidP="00C57B19">
      <w:pPr>
        <w:spacing w:before="120" w:after="120" w:line="240" w:lineRule="auto"/>
        <w:jc w:val="both"/>
        <w:rPr>
          <w:rFonts w:cstheme="minorHAnsi"/>
        </w:rPr>
      </w:pPr>
      <w:r w:rsidRPr="003C2E41">
        <w:t xml:space="preserve">OSSH (KEDS) </w:t>
      </w:r>
      <w:r>
        <w:t xml:space="preserve">nuk ofron informata të tilla eksplicite. Përfshirja e tyre kufizohet ngushtë tek dhënia e kushteve teknike për kyçje. Ata formojnë një komision që del në terren, shqyrton lokacionin e stabilimentit të ri, si dhe përcakton pikën e kyçjes, si dhe kushtet teknike për aprovimin e kyçjes, në pajtim </w:t>
      </w:r>
      <w:r w:rsidRPr="00ED480C">
        <w:t>me rregullat standarde teknike.</w:t>
      </w:r>
    </w:p>
    <w:p w14:paraId="350B1770" w14:textId="77777777" w:rsidR="00C57B19" w:rsidRPr="0033055B" w:rsidRDefault="00C57B19" w:rsidP="005E4A0E">
      <w:pPr>
        <w:spacing w:before="120" w:after="120" w:line="240" w:lineRule="auto"/>
        <w:jc w:val="both"/>
        <w:rPr>
          <w:rFonts w:cstheme="minorHAnsi"/>
          <w:lang w:val="en-GB"/>
        </w:rPr>
      </w:pPr>
    </w:p>
    <w:p w14:paraId="058EE2DB" w14:textId="77777777" w:rsidR="005E4A0E" w:rsidRPr="0033055B" w:rsidRDefault="005E4A0E" w:rsidP="00455E08">
      <w:pPr>
        <w:spacing w:before="240" w:after="240" w:line="240" w:lineRule="auto"/>
        <w:jc w:val="both"/>
        <w:rPr>
          <w:rFonts w:cstheme="minorHAnsi"/>
          <w:i/>
        </w:rPr>
      </w:pPr>
      <w:r>
        <w:rPr>
          <w:i/>
        </w:rPr>
        <w:t>4.2.7. Operimi i rrjetit elektrik (neni 16(2), si dhe Neni 16(7) dhe (8) të Direktivës 2009/28/</w:t>
      </w:r>
      <w:r w:rsidRPr="000D5DE4">
        <w:rPr>
          <w:i/>
          <w:color w:val="C00000"/>
        </w:rPr>
        <w:t>EC</w:t>
      </w:r>
      <w:r>
        <w:rPr>
          <w:i/>
        </w:rPr>
        <w:t>)</w:t>
      </w:r>
    </w:p>
    <w:p w14:paraId="55A1A3C1" w14:textId="77777777" w:rsidR="00C57B19" w:rsidRPr="0033055B" w:rsidRDefault="00C57B19" w:rsidP="00C57B19">
      <w:pPr>
        <w:spacing w:before="120" w:after="120" w:line="240" w:lineRule="auto"/>
        <w:jc w:val="both"/>
        <w:rPr>
          <w:rFonts w:cstheme="minorHAnsi"/>
        </w:rPr>
      </w:pPr>
      <w:r>
        <w:t xml:space="preserve">Obligimet në lidhje me gjeneratorët me BRE rrjedhin nga </w:t>
      </w:r>
      <w:r>
        <w:rPr>
          <w:rFonts w:ascii="Calibri" w:hAnsi="Calibri"/>
        </w:rPr>
        <w:t>Ligji nr. 05/L-081 për Energjinë</w:t>
      </w:r>
      <w:r>
        <w:t>, respektivisht neni 14.</w:t>
      </w:r>
    </w:p>
    <w:p w14:paraId="351405CB" w14:textId="77777777" w:rsidR="00C61021" w:rsidRPr="0033055B" w:rsidRDefault="00C61021" w:rsidP="00C61021">
      <w:pPr>
        <w:spacing w:before="120" w:after="120" w:line="240" w:lineRule="auto"/>
        <w:jc w:val="both"/>
        <w:rPr>
          <w:rFonts w:cstheme="minorHAnsi"/>
        </w:rPr>
      </w:pPr>
      <w:r>
        <w:t>a) Veçanërisht, në rastin e dispeçingut për energjinë e prodhuar elektrike, Operatori i Sistemit të Transmisionit, ose Operatori i Sistemit të Distribucionit, i japin përparësi energjisë elektrike të prodhuar nga burimet e ripërtërishme të energjisë dhe nga ko-gjenerimi, duke respektuar kufizimet e vëna për qëllim të sigurisë së sistemit, sipas Kodit të Rrjetit, si dhe kodeve e rregullave të tjera.</w:t>
      </w:r>
    </w:p>
    <w:p w14:paraId="5C2F1F0D" w14:textId="77777777" w:rsidR="00B82E9E" w:rsidRPr="0033055B" w:rsidRDefault="00B82E9E" w:rsidP="00C61021">
      <w:pPr>
        <w:spacing w:before="120" w:after="120" w:line="240" w:lineRule="auto"/>
        <w:jc w:val="both"/>
        <w:rPr>
          <w:rFonts w:cstheme="minorHAnsi"/>
          <w:lang w:val="en-GB"/>
        </w:rPr>
      </w:pPr>
    </w:p>
    <w:p w14:paraId="16C71B8E" w14:textId="77777777" w:rsidR="00C61021" w:rsidRPr="0033055B" w:rsidRDefault="00C61021" w:rsidP="00C61021">
      <w:pPr>
        <w:spacing w:before="120" w:after="120" w:line="240" w:lineRule="auto"/>
        <w:jc w:val="both"/>
        <w:rPr>
          <w:rFonts w:cstheme="minorHAnsi"/>
        </w:rPr>
      </w:pPr>
      <w:r>
        <w:t>b) Operatori i Sistemit të Transmisionit dhe Operatori i Sistemit të Distribucionit përpilojën dhe publikojnë rregullat standarde mbi atë se kush bart shpenzimet e përcaktimeve teknike, si kyçja në rrjet dhe përforcimet e rrjetit, të nevojshme për integrimin e prodhuesve të rinj të energjisë elektrike të prodhuar nga burimet e ripërtërishme të energjisë në sistemin e interkonektuar. Rregullat e tilla duhen dorëzuar tek Rregullatori si dhe duhet të jenë në përputhje me Strategjinë, të bazuara në kritere objektive, transparente e jo-diskriminuese, duke marrë parasysh posaçërisht të gjitha kostot dhe përfitimet që lidhen me kyçjen e këtyre prodhuesve në sistem.</w:t>
      </w:r>
    </w:p>
    <w:p w14:paraId="6F78C44A" w14:textId="77777777" w:rsidR="00B82E9E" w:rsidRPr="0033055B" w:rsidRDefault="00B82E9E" w:rsidP="00C61021">
      <w:pPr>
        <w:spacing w:before="120" w:after="120" w:line="240" w:lineRule="auto"/>
        <w:jc w:val="both"/>
        <w:rPr>
          <w:rFonts w:cstheme="minorHAnsi"/>
          <w:lang w:val="en-GB"/>
        </w:rPr>
      </w:pPr>
    </w:p>
    <w:p w14:paraId="070F4372" w14:textId="77777777" w:rsidR="00C61021" w:rsidRPr="0033055B" w:rsidRDefault="00C61021" w:rsidP="00C61021">
      <w:pPr>
        <w:spacing w:before="120" w:after="120" w:line="240" w:lineRule="auto"/>
        <w:jc w:val="both"/>
        <w:rPr>
          <w:rFonts w:cstheme="minorHAnsi"/>
        </w:rPr>
      </w:pPr>
      <w:r>
        <w:t xml:space="preserve">c) Operatori i Sistemit të Transmisionit dhe Operatori i Sistemit të Distribucionit duhet t’i japin secilit prodhues të ri të energjisë elektrike që shfrytëzon burimet e ripërtërishme të energjisë apo ko-gjenerimin, e që dëshiron të kyçet në sistem, vlerësimin gjithëpërfshirës dhe të detajuar të kostove të lidhura me kyçjen, për të cilin vlerësim operatori i sistemit mund të ngarkojë një tarifë që reflekton shpenzimet e tij të arsyeshme. </w:t>
      </w:r>
    </w:p>
    <w:p w14:paraId="6F9B29ED" w14:textId="77777777" w:rsidR="00B82E9E" w:rsidRPr="0033055B" w:rsidRDefault="00B82E9E" w:rsidP="00C61021">
      <w:pPr>
        <w:spacing w:before="120" w:after="120" w:line="240" w:lineRule="auto"/>
        <w:jc w:val="both"/>
        <w:rPr>
          <w:rFonts w:cstheme="minorHAnsi"/>
          <w:lang w:val="en-GB"/>
        </w:rPr>
      </w:pPr>
    </w:p>
    <w:p w14:paraId="2EA46E2C" w14:textId="77777777" w:rsidR="00C61021" w:rsidRPr="0033055B" w:rsidRDefault="00C61021" w:rsidP="00C61021">
      <w:pPr>
        <w:spacing w:before="120" w:after="120" w:line="240" w:lineRule="auto"/>
        <w:jc w:val="both"/>
        <w:rPr>
          <w:rFonts w:cstheme="minorHAnsi"/>
        </w:rPr>
      </w:pPr>
      <w:r>
        <w:t xml:space="preserve">d) Operatori i Sistemit të Transmisionit dhe Operatori i Sistemit të Distribucionit duhet të hartojnë dhe publikojnë rregullat standarde që kanë të bëjnë me ndarjen e shpenzimeve të instalimeve të sistemit, si kyçja në treg dhe përforcimet, ndërmjet të gjithë prodhuesve të energjisë elektrike që përfitojnë nga to. Rregullat e tilla duhen dorëzuar për miratim tek Rregullatori, si dhe duhet të jenë në përputhje me Strategjinë si dhe aktet tjera nënligjore. </w:t>
      </w:r>
    </w:p>
    <w:p w14:paraId="7523583C" w14:textId="77777777" w:rsidR="00B82E9E" w:rsidRPr="0033055B" w:rsidRDefault="00B82E9E" w:rsidP="00C61021">
      <w:pPr>
        <w:spacing w:before="120" w:after="120" w:line="240" w:lineRule="auto"/>
        <w:jc w:val="both"/>
        <w:rPr>
          <w:rFonts w:cstheme="minorHAnsi"/>
          <w:lang w:val="en-GB"/>
        </w:rPr>
      </w:pPr>
    </w:p>
    <w:p w14:paraId="67FCF639" w14:textId="77777777" w:rsidR="00C61021" w:rsidRPr="0033055B" w:rsidRDefault="00C61021" w:rsidP="00C61021">
      <w:pPr>
        <w:spacing w:before="120" w:after="120" w:line="240" w:lineRule="auto"/>
        <w:jc w:val="both"/>
        <w:rPr>
          <w:rFonts w:cstheme="minorHAnsi"/>
        </w:rPr>
      </w:pPr>
      <w:r>
        <w:t>e) Rregullatori siguron që tarifat e transmisionit dhe distribucionit për kyçje dhe shfrytëzim të sistemit të transmisionit dhe distribucionit të mos diskriminojnë ndaj operatorit të energjisë elektrike nga burimet e ripërtërishme të energjisë, duke përfshirë veçanërisht operatorit të energjisë elektrike nga burimet e ripërtërishme të energjisë të prodhuara në rajone periferike si dhe me dendësi të ulët të popullsisë.</w:t>
      </w:r>
    </w:p>
    <w:p w14:paraId="6E7ECF6E" w14:textId="77777777" w:rsidR="00C57B19" w:rsidRPr="0033055B" w:rsidRDefault="00C57B19" w:rsidP="00C57B19">
      <w:pPr>
        <w:spacing w:before="120" w:after="120" w:line="240" w:lineRule="auto"/>
        <w:jc w:val="both"/>
        <w:rPr>
          <w:rFonts w:cstheme="minorHAnsi"/>
          <w:lang w:val="en-GB"/>
        </w:rPr>
      </w:pPr>
    </w:p>
    <w:p w14:paraId="11E8B04A" w14:textId="77777777" w:rsidR="00C57B19" w:rsidRPr="0033055B" w:rsidRDefault="00C61021" w:rsidP="00AA74B6">
      <w:pPr>
        <w:spacing w:before="120" w:after="120" w:line="240" w:lineRule="auto"/>
        <w:jc w:val="both"/>
        <w:rPr>
          <w:rFonts w:cstheme="minorHAnsi"/>
        </w:rPr>
      </w:pPr>
      <w:r>
        <w:t>f)</w:t>
      </w:r>
      <w:r>
        <w:tab/>
        <w:t>Me qëllim të minimizimit të reduktimit të energjisë elektrike nga burimet e ripërtërishme të energjisë, si dhe përcaktimin e masave të planifikuara për zvogëlimin e reduktimit të tillë nga impiantet me erë, do të kontraktohet një studim mbi penetrimin e kapaciteteve të erës. Përveç këtyre, sipas nevojës, mund të zhvillohet një model i gjenerimit të energjisë elektrike nga era.</w:t>
      </w:r>
    </w:p>
    <w:p w14:paraId="26BFCE24" w14:textId="77777777" w:rsidR="00C57B19" w:rsidRPr="0033055B" w:rsidRDefault="00C57B19" w:rsidP="00C57B19">
      <w:pPr>
        <w:spacing w:before="120" w:after="120" w:line="240" w:lineRule="auto"/>
        <w:jc w:val="both"/>
        <w:rPr>
          <w:rFonts w:cstheme="minorHAnsi"/>
          <w:lang w:val="en-GB"/>
        </w:rPr>
      </w:pPr>
    </w:p>
    <w:p w14:paraId="27540AF4" w14:textId="77777777" w:rsidR="00C57B19" w:rsidRPr="0033055B" w:rsidRDefault="00C61021" w:rsidP="00C57B19">
      <w:pPr>
        <w:spacing w:before="120" w:after="120" w:line="240" w:lineRule="auto"/>
        <w:jc w:val="both"/>
        <w:rPr>
          <w:rFonts w:cstheme="minorHAnsi"/>
        </w:rPr>
      </w:pPr>
      <w:r>
        <w:t>g)</w:t>
      </w:r>
      <w:r>
        <w:tab/>
      </w:r>
      <w:r w:rsidRPr="003C2E41">
        <w:t>ZRRE-ja nuk informohet</w:t>
      </w:r>
      <w:r>
        <w:t xml:space="preserve"> mbi masat e planifikuara, si dhe nuk ka autoritet t’i monitorojë ato.  </w:t>
      </w:r>
    </w:p>
    <w:p w14:paraId="16648823" w14:textId="2EAE3358" w:rsidR="00CC3C61" w:rsidRPr="0033055B" w:rsidRDefault="00CC3C61" w:rsidP="00C57B19">
      <w:pPr>
        <w:spacing w:before="120" w:after="120" w:line="240" w:lineRule="auto"/>
        <w:jc w:val="both"/>
        <w:rPr>
          <w:rFonts w:cstheme="minorHAnsi"/>
        </w:rPr>
      </w:pPr>
      <w:r>
        <w:t>Megjithatë, ZRRE-ja ka autoritet të monitorojë se si bëhet qasja në rrjet, duke përfshirë vendimet operacionale si reduktimet.</w:t>
      </w:r>
    </w:p>
    <w:p w14:paraId="320A74EE" w14:textId="1C5DEF7B" w:rsidR="00C57B19" w:rsidRPr="00BD6482" w:rsidRDefault="00C61021" w:rsidP="00C57B19">
      <w:pPr>
        <w:spacing w:before="120" w:after="120" w:line="240" w:lineRule="auto"/>
        <w:jc w:val="both"/>
        <w:rPr>
          <w:rFonts w:cstheme="minorHAnsi"/>
        </w:rPr>
      </w:pPr>
      <w:r>
        <w:t>h)</w:t>
      </w:r>
      <w:r>
        <w:tab/>
        <w:t xml:space="preserve">Sa i përket integrimit të stabilimenteve me BRE në rrjetin elektrik dhe obligimeve të gjeneratorëve të asaj energjie për pjesëmarrje në tregun elektrik, në Kosovë, modeli i tillë është ende model tranzicioni. Gjeneratorët BRE nuk marrin pjesë në treg gjatë kohëzgjatjes së MBE-ve të tyre, sipas skemës </w:t>
      </w:r>
      <w:r w:rsidRPr="00023221">
        <w:t xml:space="preserve">së </w:t>
      </w:r>
      <w:r w:rsidR="00023221" w:rsidRPr="00023221">
        <w:t xml:space="preserve">tarifës nxitëse feed-in </w:t>
      </w:r>
      <w:r>
        <w:t xml:space="preserve">, pasi që Operatori i Tregut është i obliguar të blejë energjinë elektrike të gjeneruar nga BRE-të, si dhe ta shpërndajë atë tek të gjithë furnizuesit, në bazë të hises në treg. Operatori i tregut do të ngarkojë çmimin referent të tregut të përcaktuar nga Rregullatori për këtë energji. Po bëhen diskutime mbi atë nëse gjeneratorët me BRE, pas përfundimit të MBE-së së tyre sipas rregullores së tarifës hyrëse, do të marrin pjesë në treg apo do të fitojnë të drejtën e MBE-së vijuese me PS me kushte të tjera, duke marrë parasysh rekomandimet e politikës së </w:t>
      </w:r>
      <w:r w:rsidR="00023221" w:rsidRPr="00023221">
        <w:t>SKE</w:t>
      </w:r>
      <w:r>
        <w:t xml:space="preserve">-së për futjen në funksion të </w:t>
      </w:r>
      <w:r w:rsidR="00023221">
        <w:t>tarifave Premium</w:t>
      </w:r>
      <w:r w:rsidRPr="003951F9">
        <w:rPr>
          <w:color w:val="C00000"/>
        </w:rPr>
        <w:t xml:space="preserve"> </w:t>
      </w:r>
      <w:r>
        <w:t xml:space="preserve">dhe ankandit. </w:t>
      </w:r>
    </w:p>
    <w:p w14:paraId="56349139" w14:textId="77777777" w:rsidR="00C57B19" w:rsidRPr="0033055B" w:rsidRDefault="00C57B19" w:rsidP="00C57B19">
      <w:pPr>
        <w:spacing w:before="120" w:after="120" w:line="240" w:lineRule="auto"/>
        <w:jc w:val="both"/>
        <w:rPr>
          <w:rFonts w:cstheme="minorHAnsi"/>
          <w:lang w:val="en-GB"/>
        </w:rPr>
      </w:pPr>
    </w:p>
    <w:p w14:paraId="39B40B7A" w14:textId="77777777" w:rsidR="005E4A0E" w:rsidRPr="0033055B" w:rsidRDefault="00C61021" w:rsidP="00C57B19">
      <w:pPr>
        <w:spacing w:before="120" w:after="120" w:line="240" w:lineRule="auto"/>
        <w:jc w:val="both"/>
        <w:rPr>
          <w:rFonts w:cstheme="minorHAnsi"/>
        </w:rPr>
      </w:pPr>
      <w:r>
        <w:t>i)</w:t>
      </w:r>
      <w:r>
        <w:tab/>
        <w:t>Rregullat mbi tarifat e sistemit të transmisionit dhe atij të distribucionit janë përshkruar në Metodologjinë e Tarifave të Kyçjes të miratuar nga ZRRe-ja, si dhe tarifat kalkulohen në pajtim me ato rregulla.</w:t>
      </w:r>
    </w:p>
    <w:p w14:paraId="4B292402" w14:textId="77777777" w:rsidR="00C57B19" w:rsidRPr="0033055B" w:rsidRDefault="00C57B19" w:rsidP="005E4A0E">
      <w:pPr>
        <w:spacing w:before="120" w:after="120" w:line="240" w:lineRule="auto"/>
        <w:jc w:val="both"/>
        <w:rPr>
          <w:rFonts w:cstheme="minorHAnsi"/>
          <w:lang w:val="en-GB"/>
        </w:rPr>
      </w:pPr>
    </w:p>
    <w:p w14:paraId="04572EA8" w14:textId="77777777" w:rsidR="005E4A0E" w:rsidRPr="0033055B" w:rsidRDefault="005E4A0E" w:rsidP="00455E08">
      <w:pPr>
        <w:spacing w:before="240" w:after="240" w:line="240" w:lineRule="auto"/>
        <w:jc w:val="both"/>
        <w:rPr>
          <w:rFonts w:cstheme="minorHAnsi"/>
          <w:i/>
        </w:rPr>
      </w:pPr>
      <w:r>
        <w:rPr>
          <w:i/>
        </w:rPr>
        <w:t>4.2.8. Integrimi i bio-gazit në rrjetin e gazit natyror (neni 16(7), si dhe Neni 16(9) e (10) të Direktivës 2009/28/</w:t>
      </w:r>
      <w:r w:rsidRPr="000D5DE4">
        <w:rPr>
          <w:i/>
          <w:color w:val="C00000"/>
        </w:rPr>
        <w:t>EC</w:t>
      </w:r>
      <w:r>
        <w:rPr>
          <w:i/>
        </w:rPr>
        <w:t>)</w:t>
      </w:r>
    </w:p>
    <w:p w14:paraId="1FA592EA" w14:textId="77777777" w:rsidR="00C57B19" w:rsidRPr="0033055B" w:rsidRDefault="00C57B19" w:rsidP="00C57B19">
      <w:pPr>
        <w:spacing w:before="120" w:after="120" w:line="240" w:lineRule="auto"/>
        <w:jc w:val="both"/>
        <w:rPr>
          <w:rFonts w:cstheme="minorHAnsi"/>
        </w:rPr>
      </w:pPr>
      <w:r>
        <w:t xml:space="preserve">Nuk ekziston infrastruktura e gazit në Kosovë, si dhe nuk ka ndonjë plan afatshkurtër për zhvillimin e rrjetit të distribucionit të gazit. </w:t>
      </w:r>
    </w:p>
    <w:p w14:paraId="2E01D11C" w14:textId="77777777" w:rsidR="00C57B19" w:rsidRPr="0033055B" w:rsidRDefault="00C57B19" w:rsidP="00C57B19">
      <w:pPr>
        <w:spacing w:before="120" w:after="120" w:line="240" w:lineRule="auto"/>
        <w:jc w:val="both"/>
        <w:rPr>
          <w:rFonts w:cstheme="minorHAnsi"/>
        </w:rPr>
      </w:pPr>
      <w:r>
        <w:t xml:space="preserve">Megjithatë, Ligji nr. 05/L-082 për gazin natyror parasheh dispozita të caktuara që sigurojnë trajtimin jo-diskriminues për bio-gazin dhe gazin nga biomasa, gjegjësisht: </w:t>
      </w:r>
    </w:p>
    <w:p w14:paraId="16BFD832" w14:textId="77777777" w:rsidR="00EC7DA0" w:rsidRPr="0033055B" w:rsidRDefault="00EC7DA0" w:rsidP="007563F9">
      <w:pPr>
        <w:pStyle w:val="ListParagraph"/>
        <w:numPr>
          <w:ilvl w:val="0"/>
          <w:numId w:val="21"/>
        </w:numPr>
        <w:ind w:left="284" w:firstLine="0"/>
        <w:rPr>
          <w:rFonts w:cstheme="minorHAnsi"/>
        </w:rPr>
      </w:pPr>
      <w:r>
        <w:rPr>
          <w:rFonts w:asciiTheme="minorHAnsi" w:hAnsiTheme="minorHAnsi"/>
          <w:szCs w:val="22"/>
        </w:rPr>
        <w:t>Neni 34, për qasjen e palëve të treta në sistemin e transmisionit, depozitimit dhe shpërndarjes</w:t>
      </w:r>
    </w:p>
    <w:p w14:paraId="58D5B268" w14:textId="77777777" w:rsidR="00EC7DA0" w:rsidRPr="0033055B" w:rsidRDefault="00EC7DA0" w:rsidP="00EC7DA0">
      <w:pPr>
        <w:pStyle w:val="ListParagraph"/>
        <w:numPr>
          <w:ilvl w:val="0"/>
          <w:numId w:val="21"/>
        </w:numPr>
        <w:ind w:left="284" w:firstLine="0"/>
        <w:rPr>
          <w:rFonts w:asciiTheme="minorHAnsi" w:eastAsiaTheme="minorHAnsi" w:hAnsiTheme="minorHAnsi" w:cstheme="minorHAnsi"/>
          <w:szCs w:val="22"/>
        </w:rPr>
      </w:pPr>
      <w:r>
        <w:rPr>
          <w:rFonts w:asciiTheme="minorHAnsi" w:hAnsiTheme="minorHAnsi"/>
          <w:szCs w:val="22"/>
        </w:rPr>
        <w:t>Neni 37 për qasjen e palëve të treta në sistemin e transmisionit</w:t>
      </w:r>
    </w:p>
    <w:p w14:paraId="192A1B1F" w14:textId="77777777" w:rsidR="00EC7DA0" w:rsidRPr="0033055B" w:rsidRDefault="00EC7DA0" w:rsidP="00EC7DA0">
      <w:pPr>
        <w:pStyle w:val="ListParagraph"/>
        <w:numPr>
          <w:ilvl w:val="0"/>
          <w:numId w:val="21"/>
        </w:numPr>
        <w:rPr>
          <w:rFonts w:asciiTheme="minorHAnsi" w:eastAsiaTheme="minorHAnsi" w:hAnsiTheme="minorHAnsi" w:cstheme="minorHAnsi"/>
          <w:szCs w:val="22"/>
        </w:rPr>
      </w:pPr>
      <w:r>
        <w:rPr>
          <w:rFonts w:asciiTheme="minorHAnsi" w:hAnsiTheme="minorHAnsi"/>
          <w:szCs w:val="22"/>
        </w:rPr>
        <w:t>Neni 38 për Rregullat e Rrjetit të transmisionit</w:t>
      </w:r>
    </w:p>
    <w:p w14:paraId="7F5F37D8" w14:textId="77777777" w:rsidR="00EC7DA0" w:rsidRPr="0033055B" w:rsidRDefault="00EC7DA0" w:rsidP="007563F9">
      <w:pPr>
        <w:pStyle w:val="ListParagraph"/>
        <w:numPr>
          <w:ilvl w:val="0"/>
          <w:numId w:val="21"/>
        </w:numPr>
        <w:rPr>
          <w:rFonts w:asciiTheme="minorHAnsi" w:eastAsiaTheme="minorHAnsi" w:hAnsiTheme="minorHAnsi" w:cstheme="minorHAnsi"/>
          <w:szCs w:val="22"/>
        </w:rPr>
      </w:pPr>
      <w:r>
        <w:rPr>
          <w:rFonts w:asciiTheme="minorHAnsi" w:hAnsiTheme="minorHAnsi"/>
          <w:szCs w:val="22"/>
        </w:rPr>
        <w:t>Neni 41 për Rregullat e Rrjetit të distribucionit</w:t>
      </w:r>
    </w:p>
    <w:p w14:paraId="02EE5388" w14:textId="77777777" w:rsidR="008E4D2E" w:rsidRPr="0033055B" w:rsidRDefault="008E4D2E" w:rsidP="00C57B19">
      <w:pPr>
        <w:spacing w:before="120" w:after="120" w:line="240" w:lineRule="auto"/>
        <w:jc w:val="both"/>
        <w:rPr>
          <w:lang w:val="en-GB"/>
        </w:rPr>
      </w:pPr>
    </w:p>
    <w:p w14:paraId="0C0737D7" w14:textId="77777777" w:rsidR="00C57B19" w:rsidRPr="0033055B" w:rsidRDefault="00C57B19" w:rsidP="00C57B19">
      <w:pPr>
        <w:spacing w:before="120" w:after="120" w:line="240" w:lineRule="auto"/>
        <w:jc w:val="both"/>
        <w:rPr>
          <w:rFonts w:cstheme="minorHAnsi"/>
        </w:rPr>
      </w:pPr>
      <w:r>
        <w:t>a)</w:t>
      </w:r>
      <w:r>
        <w:tab/>
        <w:t>mos-diskriminimi i gazit të prodhuar nga burimet e ripërtërishme të energjisë përmes tarifave të transmisionit dhe distribucionit sigurohet me anë të kornizës ligjore, e cila ofron mundësi të mjaftueshme për integrimin e gazit nga burimet e ripërtërishme në rrjetin e gazit natyror. Përveç neneve si më lart, Ligji nr. 03/L133 për gazin natyror përmban edhe nenin që përcakton infrastrukturën e re (neni 36) që synon të ofrojë mënyrat për lehtësimin e investimeve në infrastrukturë të re, duke përfshirë zgjerimet e rrjetit, modifikimet dhe rritjen e kapacitetit.</w:t>
      </w:r>
    </w:p>
    <w:p w14:paraId="0BF5E5C3" w14:textId="77777777" w:rsidR="00C57B19" w:rsidRPr="0033055B" w:rsidRDefault="00C57B19" w:rsidP="00C57B19">
      <w:pPr>
        <w:spacing w:before="120" w:after="120" w:line="240" w:lineRule="auto"/>
        <w:jc w:val="both"/>
        <w:rPr>
          <w:rFonts w:cstheme="minorHAnsi"/>
          <w:lang w:val="en-GB"/>
        </w:rPr>
      </w:pPr>
    </w:p>
    <w:p w14:paraId="737C2C37" w14:textId="77777777" w:rsidR="00C57B19" w:rsidRPr="0033055B" w:rsidRDefault="00C57B19" w:rsidP="00C57B19">
      <w:pPr>
        <w:spacing w:before="120" w:after="120" w:line="240" w:lineRule="auto"/>
        <w:jc w:val="both"/>
        <w:rPr>
          <w:rFonts w:cstheme="minorHAnsi"/>
        </w:rPr>
      </w:pPr>
      <w:r>
        <w:t>b)</w:t>
      </w:r>
      <w:r>
        <w:tab/>
        <w:t>Sa i përket vlerësimit të nevojave për infrastrukturë gazi si dhe zgjerimin e asaj infrastrukture, në rast se rrjeti i gazit vlerësohet adekuat apo kurdo që nevojitet, procesi përfshin një vlerësim të mundësive për integrimin e gazit nga burimet e ripërtërishme.</w:t>
      </w:r>
    </w:p>
    <w:p w14:paraId="7DB92860" w14:textId="77777777" w:rsidR="00C57B19" w:rsidRPr="0033055B" w:rsidRDefault="00C57B19" w:rsidP="00C57B19">
      <w:pPr>
        <w:spacing w:before="120" w:after="120" w:line="240" w:lineRule="auto"/>
        <w:jc w:val="both"/>
        <w:rPr>
          <w:rFonts w:cstheme="minorHAnsi"/>
          <w:lang w:val="en-GB"/>
        </w:rPr>
      </w:pPr>
    </w:p>
    <w:p w14:paraId="434EE17D" w14:textId="77777777" w:rsidR="00C57B19" w:rsidRPr="0033055B" w:rsidRDefault="00C57B19" w:rsidP="00C57B19">
      <w:pPr>
        <w:spacing w:before="120" w:after="120" w:line="240" w:lineRule="auto"/>
        <w:jc w:val="both"/>
        <w:rPr>
          <w:rFonts w:cstheme="minorHAnsi"/>
        </w:rPr>
      </w:pPr>
      <w:r>
        <w:t>c)</w:t>
      </w:r>
      <w:r>
        <w:tab/>
        <w:t>Rregullat teknike për kyçje në rrjetet e gazit natyror dhe tarifat përkatëse të kyçjes nuk janë përgatitur.</w:t>
      </w:r>
    </w:p>
    <w:p w14:paraId="442D4091" w14:textId="77777777" w:rsidR="00C57B19" w:rsidRPr="0033055B" w:rsidRDefault="00C57B19" w:rsidP="005E4A0E">
      <w:pPr>
        <w:spacing w:before="120" w:after="120" w:line="240" w:lineRule="auto"/>
        <w:jc w:val="both"/>
        <w:rPr>
          <w:rFonts w:cstheme="minorHAnsi"/>
          <w:lang w:val="en-GB"/>
        </w:rPr>
      </w:pPr>
    </w:p>
    <w:p w14:paraId="1712D172" w14:textId="77777777" w:rsidR="005E4A0E" w:rsidRPr="0033055B" w:rsidRDefault="005E4A0E" w:rsidP="00455E08">
      <w:pPr>
        <w:spacing w:before="240" w:after="240" w:line="240" w:lineRule="auto"/>
        <w:jc w:val="both"/>
        <w:rPr>
          <w:rFonts w:cstheme="minorHAnsi"/>
          <w:i/>
        </w:rPr>
      </w:pPr>
      <w:r>
        <w:rPr>
          <w:i/>
        </w:rPr>
        <w:t>4.2.9. Zhvillimi i infrastrukturës për Ngrohje dhe ftohje qendrore (neni 16(11) i Direktivës 2009/28/</w:t>
      </w:r>
      <w:r w:rsidRPr="000D5DE4">
        <w:rPr>
          <w:i/>
          <w:color w:val="C00000"/>
        </w:rPr>
        <w:t>EC</w:t>
      </w:r>
      <w:r>
        <w:rPr>
          <w:i/>
        </w:rPr>
        <w:t>)</w:t>
      </w:r>
    </w:p>
    <w:p w14:paraId="47F9C2ED" w14:textId="77777777" w:rsidR="00842B12" w:rsidRPr="0033055B" w:rsidRDefault="00760BA0" w:rsidP="00760BA0">
      <w:pPr>
        <w:spacing w:before="120" w:after="120" w:line="240" w:lineRule="auto"/>
        <w:jc w:val="both"/>
        <w:rPr>
          <w:rFonts w:cstheme="minorHAnsi"/>
        </w:rPr>
      </w:pPr>
      <w:r>
        <w:t>Sistemet dhe infrastruktura (rrjeti) i ngrohjes qendrore nuk janë të zhvilluara në nivel të kënaqshëm, si dhe aktualisht, sistemet e NQ-së nuk përdorin energji të ripërtërishme.</w:t>
      </w:r>
    </w:p>
    <w:p w14:paraId="53B7E6FF" w14:textId="77777777" w:rsidR="00760BA0" w:rsidRPr="0033055B" w:rsidRDefault="00842B12" w:rsidP="005D6258">
      <w:pPr>
        <w:spacing w:before="120" w:after="120" w:line="240" w:lineRule="auto"/>
        <w:jc w:val="both"/>
        <w:rPr>
          <w:rFonts w:cstheme="minorHAnsi"/>
        </w:rPr>
      </w:pPr>
      <w:r>
        <w:t>Instrumenti për ndihmë në asocim (IPA II) 2014-2020 do të shpjerë drejt përmirësimit të furnizimit të ngrohjes qendrore në Prishtinë dhe Gjakovaë, ashtu që të ulen humbjet e energjisë termike në sistemet e ngrohjes qendrore, duke kontribuar kështu në efikasitet më të lartë brenda sistemit, për të përmirësuar cilësinë e furnizimit të ngrohjes për konsumatorë, e për të zëvendësuar energjinë elektrike për ngrohjes, duke rritur performancën mjedisore me kalimin tek burimet e ripërtërishme të energjisë (biomasa) në Gjakovë.</w:t>
      </w:r>
    </w:p>
    <w:p w14:paraId="5125A9DD" w14:textId="77777777" w:rsidR="00760BA0" w:rsidRPr="0033055B" w:rsidRDefault="00EB1E33" w:rsidP="00760BA0">
      <w:pPr>
        <w:spacing w:before="120" w:after="120" w:line="240" w:lineRule="auto"/>
        <w:jc w:val="both"/>
        <w:rPr>
          <w:rFonts w:cstheme="minorHAnsi"/>
        </w:rPr>
      </w:pPr>
      <w:r>
        <w:t>Kosova ka miratuar edhe Strategjinë e saj të Ngrohjes Qendrore 2011-2018, ku adresohen posaçërisht edhe burimet e ripërtërishme të energjisë. Ajo specifikon që përdorimi i linjitit të lagësht dhe shfrytëzimi i paqëndrueshëm i druve të zjarrit për ngrohje duhet minimizuar. Shfrytëzimi i energjisë diellore, mbeturinave komunale dhe mbetjeve nga druri është opsioni më premtues i ngrohjes me bazë në BRE. Stimujt financiarë për këto përdorime janë paraparë me Strategjinë e Ngrohjes, por ende nuk ekzistojnë si të tilla.</w:t>
      </w:r>
    </w:p>
    <w:p w14:paraId="2CF26C56" w14:textId="77777777" w:rsidR="00760BA0" w:rsidRPr="0033055B" w:rsidRDefault="00EB1E33" w:rsidP="00760BA0">
      <w:pPr>
        <w:spacing w:before="120" w:after="120" w:line="240" w:lineRule="auto"/>
        <w:jc w:val="both"/>
        <w:rPr>
          <w:rFonts w:cstheme="minorHAnsi"/>
        </w:rPr>
      </w:pPr>
      <w:r>
        <w:t xml:space="preserve">Vendosja e kuotave mandatore për pjesën me BRE për furnizuesit e ngrohjes qendrore do të merret parasysh. </w:t>
      </w:r>
    </w:p>
    <w:p w14:paraId="6B32EC0B" w14:textId="6229F6E9" w:rsidR="00760BA0" w:rsidRPr="0033055B" w:rsidRDefault="00EB1E33" w:rsidP="00760BA0">
      <w:pPr>
        <w:spacing w:before="120" w:after="120" w:line="240" w:lineRule="auto"/>
        <w:jc w:val="both"/>
        <w:rPr>
          <w:rFonts w:cstheme="minorHAnsi"/>
        </w:rPr>
      </w:pPr>
      <w:r>
        <w:t xml:space="preserve"> Impiantet ko-gjeneruese, të cilat shfrytëzojnë burimet e ripërtërishme të energjisë me efikasitet të lartë, do të mund të përfitonin nga bonuset shtesë për prodhimin/përdorimin e ngrohjes nga ko-gjenerimi me BRE apo skemat e ngrohjes me BRE. </w:t>
      </w:r>
    </w:p>
    <w:p w14:paraId="1B9642CE" w14:textId="72A1DAF8" w:rsidR="00AA74B6" w:rsidRPr="0033055B" w:rsidRDefault="00EB1E33" w:rsidP="00760BA0">
      <w:pPr>
        <w:spacing w:before="120" w:after="120" w:line="240" w:lineRule="auto"/>
        <w:jc w:val="both"/>
        <w:rPr>
          <w:rFonts w:cstheme="minorHAnsi"/>
        </w:rPr>
      </w:pPr>
      <w:r>
        <w:t>Mundësia e subvencionimit të zhvillimit të rrjeteve të NQ-së me BRE është marrë në konsideratë nga Udhëzimi Administrativ nr. 06/2017 për shfrytëzimin dhe përkrahjen e BRE-ve, i cili përfshin skemën mbështetëse për impiantet që përdorin burime të ripërtërishme për prodhimin e energjisë termike (skema e ngrohjes me BRE).</w:t>
      </w:r>
    </w:p>
    <w:p w14:paraId="6E8DA662" w14:textId="77777777" w:rsidR="00760BA0" w:rsidRPr="0033055B" w:rsidRDefault="00760BA0" w:rsidP="00C57B19">
      <w:pPr>
        <w:spacing w:before="120" w:after="120" w:line="240" w:lineRule="auto"/>
        <w:jc w:val="both"/>
        <w:rPr>
          <w:rFonts w:cstheme="minorHAnsi"/>
          <w:lang w:val="en-GB"/>
        </w:rPr>
      </w:pPr>
    </w:p>
    <w:p w14:paraId="4B34FDBB" w14:textId="77777777" w:rsidR="005E4A0E" w:rsidRPr="0033055B" w:rsidRDefault="00EB1E33" w:rsidP="00455E08">
      <w:pPr>
        <w:spacing w:before="240" w:after="240" w:line="240" w:lineRule="auto"/>
        <w:jc w:val="both"/>
        <w:rPr>
          <w:rFonts w:cstheme="minorHAnsi"/>
          <w:i/>
        </w:rPr>
      </w:pPr>
      <w:r>
        <w:rPr>
          <w:i/>
        </w:rPr>
        <w:t>4.2.10. Bio-karburantet dhe bio-lëngjet tjera - kriteret e qëndrueshmërisë dhe verifikimi i pajtueshmërisë (nenet 17 deri në 21 të Direktivës 2009/28/</w:t>
      </w:r>
      <w:r w:rsidRPr="000D5DE4">
        <w:rPr>
          <w:i/>
          <w:color w:val="C00000"/>
        </w:rPr>
        <w:t>EC</w:t>
      </w:r>
      <w:r>
        <w:rPr>
          <w:i/>
        </w:rPr>
        <w:t>)</w:t>
      </w:r>
    </w:p>
    <w:p w14:paraId="4AF6B9C9" w14:textId="36EEF2C6" w:rsidR="00760BA0" w:rsidRPr="0033055B" w:rsidRDefault="00EB1E33" w:rsidP="00760BA0">
      <w:pPr>
        <w:spacing w:before="120" w:after="120" w:line="240" w:lineRule="auto"/>
        <w:jc w:val="both"/>
        <w:rPr>
          <w:rFonts w:cstheme="minorHAnsi"/>
        </w:rPr>
      </w:pPr>
      <w:r>
        <w:t xml:space="preserve">Politika e Ministrisë së Bujqësisë, Pylltarisë dhe Zhvillimit Rural është të nxisë shfrytëzimin e tokës për prodhimin e ushqimit njerëzor dhe shtazor, ashtu që të ulet varësia nga importet. Shfrytëzimi i tokës për prodhim energjie (të vjela energjetike, apo bimët për prodhimin e bio-karburanteve) nuk është prioritet, për shkak të faktit të cilësisë së tokës së braktisur bujqësore.  </w:t>
      </w:r>
    </w:p>
    <w:p w14:paraId="76423F77" w14:textId="77777777" w:rsidR="00760BA0" w:rsidRPr="0033055B" w:rsidRDefault="00760BA0" w:rsidP="00760BA0">
      <w:pPr>
        <w:spacing w:before="120" w:after="120" w:line="240" w:lineRule="auto"/>
        <w:jc w:val="both"/>
        <w:rPr>
          <w:rFonts w:cstheme="minorHAnsi"/>
          <w:lang w:val="en-GB"/>
        </w:rPr>
      </w:pPr>
    </w:p>
    <w:p w14:paraId="6689A433" w14:textId="77777777" w:rsidR="00760BA0" w:rsidRPr="0033055B" w:rsidRDefault="00EB1E33" w:rsidP="00760BA0">
      <w:pPr>
        <w:spacing w:before="120" w:after="120" w:line="240" w:lineRule="auto"/>
        <w:jc w:val="both"/>
        <w:rPr>
          <w:rFonts w:cstheme="minorHAnsi"/>
        </w:rPr>
      </w:pPr>
      <w:r>
        <w:t xml:space="preserve">Kështu, Kosova nuk ka plane të menjëhershme për prodhimin e lëndëve të para bujqësore për prodhimin e bio-karburanteve dhe pyetjet vijuese mund të marrin vetëm përgjigje të pjesshme. Kriteret e qëndrueshmërisë dhe verifikimi i pajtueshmërisë do të implementohen për importet e bio-karburanteve dhe prodhimin e bio-karburanteve nga lëndët e para të importuara. </w:t>
      </w:r>
    </w:p>
    <w:p w14:paraId="496D2EFD" w14:textId="77777777" w:rsidR="00760BA0" w:rsidRPr="0033055B" w:rsidRDefault="00760BA0" w:rsidP="00760BA0">
      <w:pPr>
        <w:spacing w:before="120" w:after="120" w:line="240" w:lineRule="auto"/>
        <w:jc w:val="both"/>
        <w:rPr>
          <w:rFonts w:cstheme="minorHAnsi"/>
          <w:lang w:val="en-GB"/>
        </w:rPr>
      </w:pPr>
    </w:p>
    <w:p w14:paraId="7CB0806A" w14:textId="77777777" w:rsidR="00760BA0" w:rsidRPr="0033055B" w:rsidRDefault="00EB1E33" w:rsidP="00760BA0">
      <w:pPr>
        <w:spacing w:before="120" w:after="120" w:line="240" w:lineRule="auto"/>
        <w:jc w:val="both"/>
        <w:rPr>
          <w:rFonts w:cstheme="minorHAnsi"/>
        </w:rPr>
      </w:pPr>
      <w:r>
        <w:t>a)</w:t>
      </w:r>
      <w:r>
        <w:tab/>
        <w:t xml:space="preserve">Sa i përket kritereve të qëndrueshmërisë për bio-karburante dhe bio-lëngje në nivelin shtetëror, Projektligji për tregun e naftës dhe produkteve të naftës në Kosovë merret me çështjet e bio-karburanteve në përgjithësi, ndërsa caqet për konsumin e bio-karburanteve në transport dhe kriteret e qëndrueshmërisë do të përcaktohen me Udhëzimin Administrativ për përdorimin e bio-karburanteve dhe bio-lëngjeve në transport. </w:t>
      </w:r>
    </w:p>
    <w:p w14:paraId="1A3B60EA" w14:textId="77777777" w:rsidR="00760BA0" w:rsidRPr="0033055B" w:rsidRDefault="00760BA0" w:rsidP="00760BA0">
      <w:pPr>
        <w:spacing w:before="120" w:after="120" w:line="240" w:lineRule="auto"/>
        <w:jc w:val="both"/>
        <w:rPr>
          <w:rFonts w:cstheme="minorHAnsi"/>
          <w:lang w:val="en-GB"/>
        </w:rPr>
      </w:pPr>
    </w:p>
    <w:p w14:paraId="7301B4F7" w14:textId="5EE914FF" w:rsidR="00760BA0" w:rsidRPr="0033055B" w:rsidRDefault="00EB1E33" w:rsidP="00760BA0">
      <w:pPr>
        <w:spacing w:before="120" w:after="120" w:line="240" w:lineRule="auto"/>
        <w:jc w:val="both"/>
        <w:rPr>
          <w:rFonts w:cstheme="minorHAnsi"/>
        </w:rPr>
      </w:pPr>
      <w:r>
        <w:t>b)</w:t>
      </w:r>
      <w:r>
        <w:tab/>
        <w:t>Sa i përket ofrimit të përkrahjes financiare për bio-karburantet, sipas kritereve të qëndrueshmërisë të caktuar me nenin 17(2) deri (5) të Direktivës 2009/28/</w:t>
      </w:r>
      <w:r w:rsidRPr="000D5DE4">
        <w:rPr>
          <w:color w:val="C00000"/>
        </w:rPr>
        <w:t>EC</w:t>
      </w:r>
      <w:r>
        <w:t>, Udhëzimi Administrativ për për përdorimin e bio-karburanteve dhe bio-lëngjeve në transport do të vendosë një skemë të pajtueshmërisë me kriteret e qëndrueshmërisë për importin dhe prodhimin vendor.</w:t>
      </w:r>
    </w:p>
    <w:p w14:paraId="23885E45" w14:textId="77777777" w:rsidR="00760BA0" w:rsidRPr="0033055B" w:rsidRDefault="00760BA0" w:rsidP="00760BA0">
      <w:pPr>
        <w:spacing w:before="120" w:after="120" w:line="240" w:lineRule="auto"/>
        <w:jc w:val="both"/>
        <w:rPr>
          <w:rFonts w:cstheme="minorHAnsi"/>
          <w:lang w:val="en-GB"/>
        </w:rPr>
      </w:pPr>
    </w:p>
    <w:p w14:paraId="41953E54" w14:textId="77E78E7F" w:rsidR="00760BA0" w:rsidRPr="0033055B" w:rsidRDefault="00EB1E33" w:rsidP="00760BA0">
      <w:pPr>
        <w:spacing w:before="120" w:after="120" w:line="240" w:lineRule="auto"/>
        <w:jc w:val="both"/>
        <w:rPr>
          <w:rFonts w:cstheme="minorHAnsi"/>
        </w:rPr>
      </w:pPr>
      <w:r>
        <w:t>c)</w:t>
      </w:r>
      <w:r>
        <w:tab/>
        <w:t xml:space="preserve">MTI-ja është përgjegjëse për monitorimin e përmbushjes së kritereve. Organi i vlerësimit të kritereve të qëndrueshmërisë do të definohet përmes Udhëzimit Administrativ për përdorimin e bio-karburanteve dhe bio-lëngjeve në transport. </w:t>
      </w:r>
    </w:p>
    <w:p w14:paraId="1584FE60" w14:textId="77777777" w:rsidR="00760BA0" w:rsidRPr="0033055B" w:rsidRDefault="00760BA0" w:rsidP="00760BA0">
      <w:pPr>
        <w:spacing w:before="120" w:after="120" w:line="240" w:lineRule="auto"/>
        <w:jc w:val="both"/>
        <w:rPr>
          <w:rFonts w:cstheme="minorHAnsi"/>
          <w:lang w:val="en-GB"/>
        </w:rPr>
      </w:pPr>
    </w:p>
    <w:p w14:paraId="2A1F64E5" w14:textId="77777777" w:rsidR="00760BA0" w:rsidRPr="0033055B" w:rsidRDefault="00EB1E33" w:rsidP="00760BA0">
      <w:pPr>
        <w:spacing w:before="120" w:after="120" w:line="240" w:lineRule="auto"/>
        <w:jc w:val="both"/>
        <w:rPr>
          <w:rFonts w:cstheme="minorHAnsi"/>
        </w:rPr>
      </w:pPr>
      <w:r>
        <w:t>d)</w:t>
      </w:r>
      <w:r>
        <w:tab/>
        <w:t xml:space="preserve">Sa i përket nenit 17(3, 4 dhe 5) të Direktivës 2009/28/EC, Statusi i zonave të mbrojtura bazohet tek Ligji për mbrojtjen e natyrës nr. 03/L-233 (GZ nr. 85/09 nëntor 2010). Autoriteti që monitoron tokën dhe ndryshimet në statusin e tokës është Instituti për Mbrojtjen e Natyrës në Ministrinë e Mjedisit dhe Planifikimit Hapësinor. </w:t>
      </w:r>
    </w:p>
    <w:p w14:paraId="116E6BA1" w14:textId="77777777" w:rsidR="00760BA0" w:rsidRPr="0033055B" w:rsidRDefault="00760BA0" w:rsidP="00760BA0">
      <w:pPr>
        <w:spacing w:before="120" w:after="120" w:line="240" w:lineRule="auto"/>
        <w:jc w:val="both"/>
        <w:rPr>
          <w:rFonts w:cstheme="minorHAnsi"/>
          <w:lang w:val="en-GB"/>
        </w:rPr>
      </w:pPr>
    </w:p>
    <w:p w14:paraId="5423A913" w14:textId="77777777" w:rsidR="00760BA0" w:rsidRPr="0033055B" w:rsidRDefault="00EB1E33" w:rsidP="00760BA0">
      <w:pPr>
        <w:spacing w:before="120" w:after="120" w:line="240" w:lineRule="auto"/>
        <w:jc w:val="both"/>
        <w:rPr>
          <w:rFonts w:cstheme="minorHAnsi"/>
        </w:rPr>
      </w:pPr>
      <w:r>
        <w:t xml:space="preserve">Legjislacioni shtetëror për administrimin e tokës (regjistrimin) përbëhet nga Ligji nr. 04/L-013 për Kadastrin (GZ. Nr.13 / 1 shtator 2011). Ndryshimet në statusin e zonave tokësore që janë të mbrojtura si zona të bio-diversitetit, apo shpallja e tokës si vlerë e lartë e biodiversitetit apo zonë e mbrojtur, janë në kuadër të përgjegjësive të Ministrisë së Mjedisit dhe Planifikimit Hapësinor. Autoriteti kompetent shtetëror që monitoron regjistrin e tokave dhe ndryshimet në statusin e tokës është Agjencia Kadastrale e Kosovës.  </w:t>
      </w:r>
    </w:p>
    <w:p w14:paraId="771A1078" w14:textId="77777777" w:rsidR="00760BA0" w:rsidRPr="0033055B" w:rsidRDefault="00760BA0" w:rsidP="00760BA0">
      <w:pPr>
        <w:spacing w:before="120" w:after="120" w:line="240" w:lineRule="auto"/>
        <w:jc w:val="both"/>
        <w:rPr>
          <w:rFonts w:cstheme="minorHAnsi"/>
          <w:lang w:val="en-GB"/>
        </w:rPr>
      </w:pPr>
    </w:p>
    <w:p w14:paraId="3DF6D23E" w14:textId="77777777" w:rsidR="00760BA0" w:rsidRPr="0033055B" w:rsidRDefault="00EB1E33" w:rsidP="00760BA0">
      <w:pPr>
        <w:spacing w:before="120" w:after="120" w:line="240" w:lineRule="auto"/>
        <w:jc w:val="both"/>
        <w:rPr>
          <w:rFonts w:cstheme="minorHAnsi"/>
        </w:rPr>
      </w:pPr>
      <w:r>
        <w:t>e)</w:t>
      </w:r>
      <w:r>
        <w:tab/>
        <w:t xml:space="preserve">Në bazë të Ligjit për Mbrojtjen e Natyrës nr. 03/L-233 (Kapitulli 2, neni 8) kategorizimi i zonave të mbrojtura bëhet sipas Unionit Ndërkombëtar për Mbrojtjen e Natyrës (IUCN). </w:t>
      </w:r>
    </w:p>
    <w:p w14:paraId="40EC57BC" w14:textId="77777777" w:rsidR="00760BA0" w:rsidRPr="0033055B" w:rsidRDefault="00760BA0" w:rsidP="00760BA0">
      <w:pPr>
        <w:spacing w:before="120" w:after="120" w:line="240" w:lineRule="auto"/>
        <w:jc w:val="both"/>
        <w:rPr>
          <w:rFonts w:cstheme="minorHAnsi"/>
          <w:lang w:val="en-GB"/>
        </w:rPr>
      </w:pPr>
    </w:p>
    <w:p w14:paraId="45EE9E83" w14:textId="77777777" w:rsidR="00760BA0" w:rsidRPr="0033055B" w:rsidRDefault="00EB1E33" w:rsidP="00760BA0">
      <w:pPr>
        <w:spacing w:before="120" w:after="120" w:line="240" w:lineRule="auto"/>
        <w:jc w:val="both"/>
        <w:rPr>
          <w:rFonts w:cstheme="minorHAnsi"/>
        </w:rPr>
      </w:pPr>
      <w:r>
        <w:t>f)</w:t>
      </w:r>
      <w:r>
        <w:tab/>
        <w:t xml:space="preserve">Procedurat për ndërrimin e statusit të tokës nga toka bujqësore në tokë për qëllime jo-bujqësore rregullohen me Ligjin nr. 04/L-174 për Planifikimin Hapësinor (GZ. Nr. 30/23 gusht 2013), Ligjin nr. 02/L-26 për Tokën  bujqësore, si dhe Udhëzimin Administrativ nr. 10/2010 për plotësimin dhe ndryshimin e Udhëzimit Administrativ nr. 41/2006 për ndërrimin e destinimit të tokës bujqësore, të datës 27 dhjetor 2006.  </w:t>
      </w:r>
    </w:p>
    <w:p w14:paraId="6E43F1E9" w14:textId="77777777" w:rsidR="00760BA0" w:rsidRPr="0033055B" w:rsidRDefault="00760BA0" w:rsidP="00760BA0">
      <w:pPr>
        <w:spacing w:before="120" w:after="120" w:line="240" w:lineRule="auto"/>
        <w:jc w:val="both"/>
        <w:rPr>
          <w:rFonts w:cstheme="minorHAnsi"/>
          <w:lang w:val="en-GB"/>
        </w:rPr>
      </w:pPr>
    </w:p>
    <w:p w14:paraId="3FA46E2E" w14:textId="77777777" w:rsidR="00760BA0" w:rsidRPr="0033055B" w:rsidRDefault="00EB1E33" w:rsidP="00760BA0">
      <w:pPr>
        <w:spacing w:before="120" w:after="120" w:line="240" w:lineRule="auto"/>
        <w:jc w:val="both"/>
        <w:rPr>
          <w:rFonts w:cstheme="minorHAnsi"/>
        </w:rPr>
      </w:pPr>
      <w:r>
        <w:t xml:space="preserve">Në bazë të paragrafit 8.2 të nenit 8 të Ligjit nr. 02/L-26 për tokën bujqësore, "organi komunal përgjegjës për bujqësi obligohet të mbajë evidencë të tokës së papunuar, si dhe për destinimet e caktuara, si dhe regjistrin e tokave që </w:t>
      </w:r>
      <w:r w:rsidRPr="00023221">
        <w:t xml:space="preserve">janë ndërruar në destinim </w:t>
      </w:r>
      <w:r>
        <w:t xml:space="preserve">nga përdoruesi." </w:t>
      </w:r>
    </w:p>
    <w:p w14:paraId="2223C257" w14:textId="77777777" w:rsidR="00760BA0" w:rsidRPr="0033055B" w:rsidRDefault="00EB1E33" w:rsidP="00760BA0">
      <w:pPr>
        <w:spacing w:before="120" w:after="120" w:line="240" w:lineRule="auto"/>
        <w:jc w:val="both"/>
        <w:rPr>
          <w:rFonts w:cstheme="minorHAnsi"/>
        </w:rPr>
      </w:pPr>
      <w:r>
        <w:t xml:space="preserve">MBPZHR-ja aktualisht është duke hartuar një projekt për themelimin e regjistrit të tokave bujqësore. </w:t>
      </w:r>
    </w:p>
    <w:p w14:paraId="50E33F19" w14:textId="77777777" w:rsidR="00760BA0" w:rsidRPr="0033055B" w:rsidRDefault="00760BA0" w:rsidP="00760BA0">
      <w:pPr>
        <w:spacing w:before="120" w:after="120" w:line="240" w:lineRule="auto"/>
        <w:jc w:val="both"/>
        <w:rPr>
          <w:rFonts w:cstheme="minorHAnsi"/>
          <w:lang w:val="en-GB"/>
        </w:rPr>
      </w:pPr>
    </w:p>
    <w:p w14:paraId="38F88477" w14:textId="77777777" w:rsidR="00760BA0" w:rsidRPr="0033055B" w:rsidRDefault="00EB1E33" w:rsidP="00760BA0">
      <w:pPr>
        <w:spacing w:before="120" w:after="120" w:line="240" w:lineRule="auto"/>
        <w:jc w:val="both"/>
        <w:rPr>
          <w:rFonts w:cstheme="minorHAnsi"/>
        </w:rPr>
      </w:pPr>
      <w:r>
        <w:t>g)</w:t>
      </w:r>
      <w:r>
        <w:tab/>
        <w:t xml:space="preserve">Ligjet në fuqi në sektorin e mjedisit dhe bujqësisë nuk marrin në konsideratë praktikat e mira agro-mjedisore, si dhe kriteret tjera të pajtueshmërisë së përgjithshme (siç kërkohen me nenin 17(6) të Direktivës 2009/28/EC). Në trajtimin e kritereve të lëndëve të para në Kosovë, harmonizimi i ligjeve përkatëse do të bëhet për të marrë në konsideratë praktikat e tilla agro-mjedisore.  </w:t>
      </w:r>
    </w:p>
    <w:p w14:paraId="3F57BE53" w14:textId="77777777" w:rsidR="00760BA0" w:rsidRPr="0033055B" w:rsidRDefault="00760BA0" w:rsidP="005E4A0E">
      <w:pPr>
        <w:spacing w:before="120" w:after="120" w:line="240" w:lineRule="auto"/>
        <w:jc w:val="both"/>
        <w:rPr>
          <w:rFonts w:cstheme="minorHAnsi"/>
          <w:lang w:val="en-GB"/>
        </w:rPr>
      </w:pPr>
    </w:p>
    <w:p w14:paraId="242D5670" w14:textId="3EA3032E" w:rsidR="005E4A0E" w:rsidRPr="0033055B" w:rsidRDefault="00724C64" w:rsidP="00E565CD">
      <w:pPr>
        <w:pStyle w:val="Heading2"/>
      </w:pPr>
      <w:bookmarkStart w:id="29" w:name="_Toc518377685"/>
      <w:r>
        <w:t>4.3. Skemat mbështetëse të aplikuara në Kosovë për promovimin e shfrytëzimit të energjisë nga burimet e ripërtërishme në energjinë elektrike</w:t>
      </w:r>
      <w:bookmarkEnd w:id="29"/>
      <w:r>
        <w:t xml:space="preserve"> </w:t>
      </w:r>
    </w:p>
    <w:p w14:paraId="7A59C9D2" w14:textId="77777777" w:rsidR="00BA2354" w:rsidRPr="0033055B" w:rsidRDefault="002A770A" w:rsidP="005F3BF8">
      <w:pPr>
        <w:spacing w:before="120" w:after="120" w:line="240" w:lineRule="auto"/>
        <w:jc w:val="both"/>
        <w:rPr>
          <w:rFonts w:cstheme="minorHAnsi"/>
        </w:rPr>
      </w:pPr>
      <w:r>
        <w:t>a) Skema kryesore e mbështetjes është skema e tarifave hyrëse, që është mekanizëm vullnetar për energjinë elektrike të prodhuar nga burimet e ripërtërishme të ujit, erës, biomasës dhe fotovoltaiket. Projektet e BRE-ve me kapacitete brenda nivelit të caqeve të planifikuara bazohen në skemën e tarifës hyrëse, të cilat përcaktohen nga Zyra e Rregullatorit të Energjisë.</w:t>
      </w:r>
    </w:p>
    <w:p w14:paraId="61A073E6" w14:textId="77777777" w:rsidR="00BA2354" w:rsidRPr="0033055B" w:rsidRDefault="00BA2354" w:rsidP="005F3BF8">
      <w:pPr>
        <w:spacing w:before="120" w:after="120" w:line="240" w:lineRule="auto"/>
        <w:jc w:val="both"/>
        <w:rPr>
          <w:rFonts w:cstheme="minorHAnsi"/>
          <w:lang w:val="en-GB"/>
        </w:rPr>
      </w:pPr>
    </w:p>
    <w:p w14:paraId="638B2D12" w14:textId="77777777" w:rsidR="00BA2354" w:rsidRPr="0033055B" w:rsidRDefault="00BA2354" w:rsidP="005F3BF8">
      <w:pPr>
        <w:spacing w:before="120" w:after="120" w:line="240" w:lineRule="auto"/>
        <w:jc w:val="both"/>
        <w:rPr>
          <w:rFonts w:cstheme="minorHAnsi"/>
        </w:rPr>
      </w:pPr>
      <w:r>
        <w:t xml:space="preserve">b) ZRRE-ja harton skemën, identifikon aktorët në treg që implementojnë skemën, si dhe monitoron funksionimin dhe performancën e skemës në përmbushjen e trajektores indikative dhe caqeve për BRE. </w:t>
      </w:r>
    </w:p>
    <w:p w14:paraId="6D4D08AB" w14:textId="77777777" w:rsidR="00BA2354" w:rsidRPr="0033055B" w:rsidRDefault="00BA2354" w:rsidP="005F3BF8">
      <w:pPr>
        <w:spacing w:before="120" w:after="120" w:line="240" w:lineRule="auto"/>
        <w:jc w:val="both"/>
        <w:rPr>
          <w:rFonts w:cstheme="minorHAnsi"/>
          <w:lang w:val="en-GB"/>
        </w:rPr>
      </w:pPr>
    </w:p>
    <w:p w14:paraId="3F526EFF" w14:textId="77777777" w:rsidR="004519B9" w:rsidRPr="0033055B" w:rsidRDefault="00BA2354" w:rsidP="004519B9">
      <w:pPr>
        <w:spacing w:before="120" w:after="120" w:line="240" w:lineRule="auto"/>
        <w:jc w:val="both"/>
        <w:rPr>
          <w:rFonts w:cstheme="minorHAnsi"/>
        </w:rPr>
      </w:pPr>
      <w:r>
        <w:t>c) Në bazë të Ligjit të ri për energjinë elektrike nr. 05/L-085, neni 8, prodhimi i energjisë elektrike nga burimet e ripërtërishme të energjisë dhe ko-gjenerimi:</w:t>
      </w:r>
    </w:p>
    <w:p w14:paraId="5879159C" w14:textId="77777777" w:rsidR="004519B9" w:rsidRPr="0033055B" w:rsidRDefault="004519B9" w:rsidP="004519B9">
      <w:pPr>
        <w:pStyle w:val="ListParagraph"/>
        <w:numPr>
          <w:ilvl w:val="0"/>
          <w:numId w:val="12"/>
        </w:numPr>
        <w:spacing w:before="120"/>
        <w:rPr>
          <w:rFonts w:ascii="Calibri" w:hAnsi="Calibri" w:cs="Calibri"/>
        </w:rPr>
      </w:pPr>
      <w:r>
        <w:rPr>
          <w:rFonts w:ascii="Calibri" w:hAnsi="Calibri"/>
        </w:rPr>
        <w:t>Kompensimi, pagesa e energjisë së prodhuar nga burimet e energjisë së ripërtërishme bëhet sipas tarifave për kompensimin e prodhimit të energjisë elektrike nga këto burime të cilat i mbledh Opertatori i Tregut nga furnizuesit e konsumatorëve fundorë, me përjashtim të sasisë për të cilën prodhuesit kanë lidhur kontratë për shitje, sipas dispozitave të këtij ligji.</w:t>
      </w:r>
    </w:p>
    <w:p w14:paraId="383EEDDE" w14:textId="77777777" w:rsidR="004519B9" w:rsidRPr="0033055B" w:rsidRDefault="004519B9" w:rsidP="004519B9">
      <w:pPr>
        <w:pStyle w:val="ListParagraph"/>
        <w:numPr>
          <w:ilvl w:val="0"/>
          <w:numId w:val="12"/>
        </w:numPr>
        <w:spacing w:before="120"/>
        <w:rPr>
          <w:rFonts w:ascii="Calibri" w:hAnsi="Calibri" w:cs="Calibri"/>
        </w:rPr>
      </w:pPr>
      <w:r>
        <w:rPr>
          <w:rFonts w:ascii="Calibri" w:hAnsi="Calibri"/>
        </w:rPr>
        <w:t>Rregullatori duhet të realizojë aranzhime për të kompensuar shpenzimet shtesë, me të cilat përballen furnizuesit, për shkak të blerjes së energjisë elektrike, sipas kushteve të përcaktuara në këtë nen, përmes një takse specifike në shërbimet e operatorëve të sistemit, e cila u ngarkohet në mënyrë transparente dhe jodiskriminuese të gjithë furnizuesve të lidhur në sistemin përkatës, në proporcion me energjinë e blerë të tyre nga burimet e energjisë së ripërtërishme.</w:t>
      </w:r>
    </w:p>
    <w:p w14:paraId="61384293" w14:textId="77777777" w:rsidR="004519B9" w:rsidRPr="0033055B" w:rsidRDefault="004519B9" w:rsidP="004519B9">
      <w:pPr>
        <w:pStyle w:val="ListParagraph"/>
        <w:numPr>
          <w:ilvl w:val="0"/>
          <w:numId w:val="12"/>
        </w:numPr>
        <w:spacing w:before="120"/>
        <w:rPr>
          <w:rFonts w:ascii="Calibri" w:hAnsi="Calibri" w:cs="Calibri"/>
        </w:rPr>
      </w:pPr>
      <w:r>
        <w:rPr>
          <w:rFonts w:ascii="Calibri" w:hAnsi="Calibri"/>
        </w:rPr>
        <w:t>Rregullatori, sipas Ligjit për Rregullatorin e Energjisë, harton metodologjinë për përcaktimin e tarifave që duhet të paguajnë furnizuesit, për energjinë elektrike të prodhuar nga burimet</w:t>
      </w:r>
      <w:r>
        <w:rPr>
          <w:rFonts w:ascii="Calibri" w:hAnsi="Calibri"/>
        </w:rPr>
        <w:cr/>
      </w:r>
      <w:r>
        <w:rPr>
          <w:rFonts w:ascii="Calibri" w:hAnsi="Calibri"/>
        </w:rPr>
        <w:br/>
        <w:t>e energjisë së ripërtërishme. Kjo metodologji duhet të përfshijë dispozita për kompensimin e</w:t>
      </w:r>
      <w:r>
        <w:rPr>
          <w:rFonts w:ascii="Calibri" w:hAnsi="Calibri"/>
        </w:rPr>
        <w:cr/>
      </w:r>
      <w:r>
        <w:rPr>
          <w:rFonts w:ascii="Calibri" w:hAnsi="Calibri"/>
        </w:rPr>
        <w:br/>
        <w:t xml:space="preserve">furnizuesve, për koston shtesë për blerjen e energjisë elektrike, të prodhuar nga këto burime të energjisë. </w:t>
      </w:r>
    </w:p>
    <w:p w14:paraId="465EF4F1" w14:textId="77777777" w:rsidR="004519B9" w:rsidRPr="0033055B" w:rsidRDefault="004519B9" w:rsidP="004519B9">
      <w:pPr>
        <w:spacing w:before="120" w:after="120" w:line="240" w:lineRule="auto"/>
        <w:jc w:val="both"/>
        <w:rPr>
          <w:rFonts w:cstheme="minorHAnsi"/>
        </w:rPr>
      </w:pPr>
      <w:r>
        <w:t>Operatori i Tregut është përgjegjës për lidhjen e marrëveshjeve të shitblerjes për pjesën obligative të energjisë elektrike të prodhuar nga burimet e ripërtërishme të energjisë dhe ko-gjenerimi, si dhe inkasimin e pagesave për mbështetjen e prodhimit të energjisë elektrike nga burimet e ripërtërishme të energjisë dhe ko-gjenerimi, nga të gjithë furnizuesit, duke përfshirë furnizuesit me obligime të shërbimit publik.</w:t>
      </w:r>
    </w:p>
    <w:p w14:paraId="43E79ED6" w14:textId="77777777" w:rsidR="004519B9" w:rsidRPr="0033055B" w:rsidRDefault="004519B9" w:rsidP="004519B9">
      <w:pPr>
        <w:spacing w:before="120" w:after="120" w:line="240" w:lineRule="auto"/>
        <w:jc w:val="both"/>
        <w:rPr>
          <w:rFonts w:cstheme="minorHAnsi"/>
        </w:rPr>
      </w:pPr>
      <w:r>
        <w:t>Derisa tregu të ketë vetëm një furnizues, kompensimi, pagesa e energjisë elektrike të prodhuar nga burimet e ripërtërishme të energjisë bëhet tarifë kompensimi për prodhim të energjisë elektrike nga këto burime, që inkasohen nga furnizuesi, me përjashtim të sasisë për të cilat prodhuesit kanë lidhur kontratë për shitje, sipas dispozitave të këtij ligji.</w:t>
      </w:r>
    </w:p>
    <w:p w14:paraId="27C5570E" w14:textId="77777777" w:rsidR="00BA2354" w:rsidRPr="0033055B" w:rsidRDefault="004519B9" w:rsidP="005F3BF8">
      <w:pPr>
        <w:spacing w:before="120" w:after="120" w:line="240" w:lineRule="auto"/>
        <w:jc w:val="both"/>
        <w:rPr>
          <w:rFonts w:cstheme="minorHAnsi"/>
        </w:rPr>
      </w:pPr>
      <w:r>
        <w:t>Furnizuesi publik është i obliguar të blejë me prioritet të parë të gjithë energjinë elektrike të prodhuar me BRE, si dhe të pranuar në skemë.</w:t>
      </w:r>
    </w:p>
    <w:p w14:paraId="58A9695C" w14:textId="77777777" w:rsidR="004519B9" w:rsidRPr="0033055B" w:rsidRDefault="004519B9" w:rsidP="005F3BF8">
      <w:pPr>
        <w:spacing w:before="120" w:after="120" w:line="240" w:lineRule="auto"/>
        <w:jc w:val="both"/>
        <w:rPr>
          <w:rFonts w:cstheme="minorHAnsi"/>
          <w:lang w:val="en-GB"/>
        </w:rPr>
      </w:pPr>
    </w:p>
    <w:p w14:paraId="763BCDE1" w14:textId="18439496" w:rsidR="00BA2354" w:rsidRPr="0033055B" w:rsidRDefault="00BA2354" w:rsidP="00BA2354">
      <w:pPr>
        <w:spacing w:before="120" w:after="120" w:line="240" w:lineRule="auto"/>
        <w:jc w:val="both"/>
        <w:rPr>
          <w:rFonts w:cstheme="minorHAnsi"/>
        </w:rPr>
      </w:pPr>
      <w:r>
        <w:t xml:space="preserve">d) Tarifa e unifikuar hyrëse ofrohet për 12 vjet, me përjashtim të hidro-energjisë, që parashihet për 10 vjet. Mbështetja vendoset sipas metodologjisë së ZRRE-së, në nivelin që siguron kthimin adekuat mbi kapital. Skema e tarifës hyrëse ka korrigjime vjetore të tarifës sipas inflacionit, për secilën teknologji të BRE-ve. </w:t>
      </w:r>
      <w:r w:rsidR="003C2E41" w:rsidRPr="00023221">
        <w:t>Tarifat nxitëse feed-in</w:t>
      </w:r>
      <w:r w:rsidRPr="00023221">
        <w:t xml:space="preserve"> </w:t>
      </w:r>
      <w:r>
        <w:t>dallojnë sipas teknologjive, por të gjitha dispozitat tjera mbesin të pandryshuara për secilin lloj të teknologjisë.</w:t>
      </w:r>
    </w:p>
    <w:p w14:paraId="6F561A4F" w14:textId="77777777" w:rsidR="00E267BE" w:rsidRPr="0033055B" w:rsidRDefault="00E267BE" w:rsidP="00BA2354">
      <w:pPr>
        <w:spacing w:before="120" w:after="120" w:line="240" w:lineRule="auto"/>
        <w:jc w:val="both"/>
        <w:rPr>
          <w:rFonts w:cstheme="minorHAnsi"/>
          <w:lang w:val="en-GB"/>
        </w:rPr>
      </w:pPr>
    </w:p>
    <w:p w14:paraId="553C465A" w14:textId="77777777" w:rsidR="00BA2354" w:rsidRPr="0033055B" w:rsidRDefault="00E267BE" w:rsidP="00BA2354">
      <w:pPr>
        <w:spacing w:before="120" w:after="120" w:line="240" w:lineRule="auto"/>
        <w:jc w:val="both"/>
        <w:rPr>
          <w:rFonts w:cstheme="minorHAnsi"/>
        </w:rPr>
      </w:pPr>
      <w:r>
        <w:t>e) Nëse tarifat rishikohen në të ardhmen, rishikimi nuk ndikon tek gjeneratorët që janë pranuar më parë në skemë, por vetëm gjeneratorët që mund të aplikojnë pas datës së rishikimit.</w:t>
      </w:r>
    </w:p>
    <w:p w14:paraId="0463DC11" w14:textId="77777777" w:rsidR="00BA2354" w:rsidRPr="0033055B" w:rsidRDefault="00BA2354" w:rsidP="005F3BF8">
      <w:pPr>
        <w:spacing w:before="120" w:after="120" w:line="240" w:lineRule="auto"/>
        <w:jc w:val="both"/>
        <w:rPr>
          <w:rFonts w:cstheme="minorHAnsi"/>
          <w:lang w:val="en-GB"/>
        </w:rPr>
      </w:pPr>
    </w:p>
    <w:p w14:paraId="05FE24D6" w14:textId="77777777" w:rsidR="00BA2354" w:rsidRPr="0033055B" w:rsidRDefault="00E267BE" w:rsidP="005F3BF8">
      <w:pPr>
        <w:spacing w:before="120" w:after="120" w:line="240" w:lineRule="auto"/>
        <w:jc w:val="both"/>
        <w:rPr>
          <w:rFonts w:cstheme="minorHAnsi"/>
        </w:rPr>
      </w:pPr>
      <w:r>
        <w:t xml:space="preserve">f) Nuk parashihen rishikime periodike të skemës; megjithatë, ZRRE-ja ka të drejtë të ndryshojë tarifat kurdo që është e domosdoshme. </w:t>
      </w:r>
    </w:p>
    <w:p w14:paraId="01D7E31D" w14:textId="40A0CBEE" w:rsidR="005F3BF8" w:rsidRPr="0033055B" w:rsidRDefault="005F3BF8" w:rsidP="005F3BF8">
      <w:pPr>
        <w:spacing w:before="120" w:after="120" w:line="240" w:lineRule="auto"/>
        <w:jc w:val="both"/>
        <w:rPr>
          <w:rFonts w:cstheme="minorHAnsi"/>
        </w:rPr>
      </w:pPr>
      <w:r>
        <w:t>Me rishikimin e ske</w:t>
      </w:r>
      <w:r w:rsidR="003C2E41">
        <w:t xml:space="preserve">mës stimuluese të tarifës nxitëse feed-in </w:t>
      </w:r>
      <w:r>
        <w:t xml:space="preserve"> për hidro-energji dhe energji të erës, më 2016, Zyra e Rregullatorit të En</w:t>
      </w:r>
      <w:r w:rsidR="003C2E41">
        <w:t>ergjisë ka rritur tarifën nxitëse feed in</w:t>
      </w:r>
      <w:r>
        <w:t xml:space="preserve"> për energjinë elektrike nga uji, nga shifra e mëhershme 63.3 në 67.47 Euro/MWh, derisa për energjinë e erës, afati për shitjen e energjisë është rritur nga 10 në 12 vjet. Afati 12-vjeçar i Marrëveshjes për Blerjen e Energjisë vlen edhe për energjinë fotovoltaike, derisa për hidro-energjinë është 10 vjet. </w:t>
      </w:r>
    </w:p>
    <w:p w14:paraId="523079F2" w14:textId="77777777" w:rsidR="00BA2354" w:rsidRPr="0033055B" w:rsidRDefault="00BA2354" w:rsidP="004D047C">
      <w:pPr>
        <w:spacing w:before="120" w:after="120" w:line="240" w:lineRule="auto"/>
        <w:jc w:val="both"/>
        <w:rPr>
          <w:rFonts w:cstheme="minorHAnsi"/>
          <w:lang w:val="en-GB"/>
        </w:rPr>
      </w:pPr>
    </w:p>
    <w:p w14:paraId="28C30B6A" w14:textId="64881246" w:rsidR="00E267BE" w:rsidRPr="0033055B" w:rsidRDefault="00E267BE" w:rsidP="004D047C">
      <w:pPr>
        <w:spacing w:before="120" w:after="120" w:line="240" w:lineRule="auto"/>
        <w:jc w:val="both"/>
        <w:rPr>
          <w:rFonts w:cstheme="minorHAnsi"/>
        </w:rPr>
      </w:pPr>
      <w:r>
        <w:t xml:space="preserve">g) </w:t>
      </w:r>
      <w:r w:rsidR="003C2E41" w:rsidRPr="00023221">
        <w:t>Tarifat nxitëse feed- in tarifa</w:t>
      </w:r>
      <w:r w:rsidRPr="00023221">
        <w:t xml:space="preserve"> </w:t>
      </w:r>
      <w:r>
        <w:t>dallojnë sipas teknologjive të ndryshme, si vijon: - Hidro energji (HC të vogla) 67.47 Euro/MWh; - energjia e erës: 85 Euro/MWh; - Energjia nga biomasa 71.3 Euro/MWh si dhe fotovoltaiket 136.4 Euro/MWh.</w:t>
      </w:r>
    </w:p>
    <w:p w14:paraId="5D99AB76" w14:textId="77777777" w:rsidR="009C45D2" w:rsidRPr="0033055B" w:rsidRDefault="009C45D2" w:rsidP="005F3BF8">
      <w:pPr>
        <w:spacing w:before="120" w:after="120" w:line="240" w:lineRule="auto"/>
        <w:jc w:val="both"/>
        <w:rPr>
          <w:rFonts w:cstheme="minorHAnsi"/>
          <w:lang w:val="en-GB"/>
        </w:rPr>
      </w:pPr>
    </w:p>
    <w:p w14:paraId="14E74CEE" w14:textId="2F150711" w:rsidR="00F455E4" w:rsidRDefault="003C2E41" w:rsidP="005F3BF8">
      <w:pPr>
        <w:spacing w:before="120" w:after="120" w:line="240" w:lineRule="auto"/>
        <w:jc w:val="both"/>
        <w:rPr>
          <w:rFonts w:cstheme="minorHAnsi"/>
        </w:rPr>
      </w:pPr>
      <w:r>
        <w:t>h)</w:t>
      </w:r>
      <w:r>
        <w:tab/>
        <w:t>Në bazë të tarifës nxitëse feed-in</w:t>
      </w:r>
      <w:r w:rsidR="009C45D2">
        <w:t xml:space="preserve">, në pajtim me caqet e energjisë të BRE-ve deri më 2020, zhvillimi i kapaciteteve të reja vijuese të prodhimit të energjisë elektrike do të mbështeten: </w:t>
      </w:r>
    </w:p>
    <w:p w14:paraId="09F6C17C" w14:textId="506335CA" w:rsidR="00F455E4" w:rsidRPr="00E565CD" w:rsidRDefault="009C45D2" w:rsidP="00E565CD">
      <w:pPr>
        <w:pStyle w:val="ListParagraph"/>
        <w:numPr>
          <w:ilvl w:val="0"/>
          <w:numId w:val="26"/>
        </w:numPr>
        <w:spacing w:before="120"/>
        <w:rPr>
          <w:rFonts w:cstheme="minorHAnsi"/>
        </w:rPr>
      </w:pPr>
      <w:r>
        <w:rPr>
          <w:rFonts w:asciiTheme="minorHAnsi" w:hAnsiTheme="minorHAnsi"/>
        </w:rPr>
        <w:t xml:space="preserve">37 GWh në bazë të energjisë fotovoltaike (30 MW), </w:t>
      </w:r>
    </w:p>
    <w:p w14:paraId="1862D79D" w14:textId="04CB59CC" w:rsidR="00F455E4" w:rsidRPr="00E565CD" w:rsidRDefault="009C45D2" w:rsidP="00E565CD">
      <w:pPr>
        <w:pStyle w:val="ListParagraph"/>
        <w:numPr>
          <w:ilvl w:val="0"/>
          <w:numId w:val="26"/>
        </w:numPr>
        <w:spacing w:before="120"/>
        <w:rPr>
          <w:rFonts w:cstheme="minorHAnsi"/>
        </w:rPr>
      </w:pPr>
      <w:r>
        <w:rPr>
          <w:rFonts w:asciiTheme="minorHAnsi" w:hAnsiTheme="minorHAnsi"/>
        </w:rPr>
        <w:t xml:space="preserve">350 GWh nga era (173,8 MW) dhe </w:t>
      </w:r>
    </w:p>
    <w:p w14:paraId="6B53B26B" w14:textId="08409AE3" w:rsidR="009C45D2" w:rsidRPr="00E565CD" w:rsidRDefault="009C45D2" w:rsidP="00E565CD">
      <w:pPr>
        <w:pStyle w:val="ListParagraph"/>
        <w:numPr>
          <w:ilvl w:val="0"/>
          <w:numId w:val="26"/>
        </w:numPr>
        <w:spacing w:before="120"/>
        <w:rPr>
          <w:rFonts w:cstheme="minorHAnsi"/>
        </w:rPr>
      </w:pPr>
      <w:r>
        <w:rPr>
          <w:rFonts w:asciiTheme="minorHAnsi" w:hAnsiTheme="minorHAnsi"/>
        </w:rPr>
        <w:t>706 GWh (124,1 MW) nga burimet hidrologjike.</w:t>
      </w:r>
    </w:p>
    <w:p w14:paraId="04F0A9F0" w14:textId="77777777" w:rsidR="009C45D2" w:rsidRPr="0033055B" w:rsidRDefault="009C45D2" w:rsidP="005F3BF8">
      <w:pPr>
        <w:spacing w:before="120" w:after="120" w:line="240" w:lineRule="auto"/>
        <w:jc w:val="both"/>
        <w:rPr>
          <w:rFonts w:cstheme="minorHAnsi"/>
          <w:lang w:val="en-GB"/>
        </w:rPr>
      </w:pPr>
    </w:p>
    <w:p w14:paraId="1FB4016E" w14:textId="77777777" w:rsidR="009C45D2" w:rsidRPr="0033055B" w:rsidRDefault="009C45D2" w:rsidP="009C45D2">
      <w:pPr>
        <w:spacing w:before="120" w:after="120" w:line="240" w:lineRule="auto"/>
        <w:jc w:val="both"/>
        <w:rPr>
          <w:rFonts w:cstheme="minorHAnsi"/>
        </w:rPr>
      </w:pPr>
      <w:r>
        <w:t>i)</w:t>
      </w:r>
      <w:r>
        <w:tab/>
        <w:t>Mbështetja përmes tarifës për prodhimin e energjisë elektrike nga BRE-të nuk kushtëzohet me ndonjë kriter të efiçiencës së energjisë.</w:t>
      </w:r>
    </w:p>
    <w:p w14:paraId="57A79700" w14:textId="77777777" w:rsidR="009C45D2" w:rsidRPr="0033055B" w:rsidRDefault="009C45D2" w:rsidP="005F3BF8">
      <w:pPr>
        <w:spacing w:before="120" w:after="120" w:line="240" w:lineRule="auto"/>
        <w:jc w:val="both"/>
        <w:rPr>
          <w:rFonts w:cstheme="minorHAnsi"/>
          <w:lang w:val="en-GB"/>
        </w:rPr>
      </w:pPr>
    </w:p>
    <w:p w14:paraId="5358C420" w14:textId="55BA3730" w:rsidR="00BA2354" w:rsidRPr="0033055B" w:rsidRDefault="009C45D2" w:rsidP="005F3BF8">
      <w:pPr>
        <w:spacing w:before="120" w:after="120" w:line="240" w:lineRule="auto"/>
        <w:jc w:val="both"/>
        <w:rPr>
          <w:rFonts w:cstheme="minorHAnsi"/>
        </w:rPr>
      </w:pPr>
      <w:r>
        <w:t>j) Skema ekzistuese e mbështetjes është filluar me Rregullin për mbështetjen e energjisë elektrike për të cilën është nxjerrë Certifikata e Origjinës dhe Procedurat e pranimit në skemën e mbështetjes, miratuar më 29.12.2010. Rregulli i rishikuar i Skemës Mbështetëse, që është miratuar në mars të vitit 2017, siguron bazën ligjore dhe hapat që duhen ndërmarrë. ZRRE-ja informon ndërtuesin në kohën e aplikimit nëse ende ka kapacitet të mjaftueshëm të pambuluar me cak për të lejuar akomodimin e kapaciteteve të reja. Në këtë</w:t>
      </w:r>
      <w:r w:rsidR="003C2E41">
        <w:t xml:space="preserve"> rast, pranimi në tarifën nxitëse feed in</w:t>
      </w:r>
      <w:r>
        <w:t xml:space="preserve"> bëhet automatikisht. Pranimi merr efekt vetëm kur projekti të fillojë operimin komercial.</w:t>
      </w:r>
    </w:p>
    <w:p w14:paraId="0F68D366" w14:textId="77777777" w:rsidR="009C45D2" w:rsidRPr="0033055B" w:rsidRDefault="009C45D2" w:rsidP="005F3BF8">
      <w:pPr>
        <w:spacing w:before="120" w:after="120" w:line="240" w:lineRule="auto"/>
        <w:jc w:val="both"/>
        <w:rPr>
          <w:rFonts w:cstheme="minorHAnsi"/>
          <w:lang w:val="en-GB"/>
        </w:rPr>
      </w:pPr>
    </w:p>
    <w:p w14:paraId="4382A661" w14:textId="04F4D30C" w:rsidR="009C45D2" w:rsidRPr="0033055B" w:rsidRDefault="003C2E41" w:rsidP="009C45D2">
      <w:pPr>
        <w:spacing w:before="120" w:after="120" w:line="240" w:lineRule="auto"/>
        <w:jc w:val="both"/>
        <w:rPr>
          <w:rFonts w:cstheme="minorHAnsi"/>
        </w:rPr>
      </w:pPr>
      <w:r>
        <w:t>k)</w:t>
      </w:r>
      <w:r>
        <w:tab/>
        <w:t>Tarifa nxitëse feed-in</w:t>
      </w:r>
      <w:r w:rsidR="009C45D2">
        <w:t xml:space="preserve"> është funksionale për disa teknologji.</w:t>
      </w:r>
    </w:p>
    <w:p w14:paraId="0635A52B" w14:textId="77777777" w:rsidR="009C45D2" w:rsidRPr="0033055B" w:rsidRDefault="009C45D2" w:rsidP="009C45D2">
      <w:pPr>
        <w:spacing w:before="120" w:after="120" w:line="240" w:lineRule="auto"/>
        <w:jc w:val="both"/>
        <w:rPr>
          <w:rFonts w:cstheme="minorHAnsi"/>
          <w:lang w:val="en-GB"/>
        </w:rPr>
      </w:pPr>
    </w:p>
    <w:p w14:paraId="530E1280" w14:textId="77777777" w:rsidR="009C45D2" w:rsidRPr="0033055B" w:rsidRDefault="009C45D2" w:rsidP="009C45D2">
      <w:pPr>
        <w:spacing w:before="120" w:after="120" w:line="240" w:lineRule="auto"/>
        <w:jc w:val="both"/>
        <w:rPr>
          <w:rFonts w:cstheme="minorHAnsi"/>
        </w:rPr>
      </w:pPr>
      <w:r>
        <w:t>l) Skema ekzistuese e mbështetjes është filluar me Rregullin për mbështetjen e energjisë elektrike për të cilën është nxjerrë Certifikata e Origjinës dhe Procedurat e pranimit në skemën e mbështetjes, miratuar më 29.12.2010.</w:t>
      </w:r>
    </w:p>
    <w:p w14:paraId="5DE894F6" w14:textId="77777777" w:rsidR="009C45D2" w:rsidRPr="0033055B" w:rsidRDefault="009C45D2" w:rsidP="005F3BF8">
      <w:pPr>
        <w:spacing w:before="120" w:after="120" w:line="240" w:lineRule="auto"/>
        <w:jc w:val="both"/>
        <w:rPr>
          <w:rFonts w:cstheme="minorHAnsi"/>
          <w:lang w:val="en-GB"/>
        </w:rPr>
      </w:pPr>
    </w:p>
    <w:p w14:paraId="77CC9956" w14:textId="45403356" w:rsidR="00F455E4" w:rsidRDefault="009C45D2" w:rsidP="009C45D2">
      <w:pPr>
        <w:spacing w:before="120" w:after="120" w:line="240" w:lineRule="auto"/>
        <w:jc w:val="both"/>
        <w:rPr>
          <w:rFonts w:cstheme="minorHAnsi"/>
        </w:rPr>
      </w:pPr>
      <w:r>
        <w:t>m)</w:t>
      </w:r>
      <w:r>
        <w:tab/>
        <w:t xml:space="preserve">neni 4 i Rregullit për skemën mbështetëse për gjeneratorët me burime të ripërtërishme të energjisë përcakton madhësinë maksimale të një projekti të vetëm (impianti) që kualifikohet për skemë, si vijon: </w:t>
      </w:r>
    </w:p>
    <w:p w14:paraId="0CB9D738" w14:textId="77777777" w:rsidR="00F455E4" w:rsidRPr="00E565CD" w:rsidRDefault="009C45D2" w:rsidP="00E565CD">
      <w:pPr>
        <w:pStyle w:val="ListParagraph"/>
        <w:numPr>
          <w:ilvl w:val="0"/>
          <w:numId w:val="27"/>
        </w:numPr>
        <w:spacing w:before="120"/>
        <w:rPr>
          <w:rFonts w:cstheme="minorHAnsi"/>
        </w:rPr>
      </w:pPr>
      <w:r>
        <w:rPr>
          <w:rFonts w:asciiTheme="minorHAnsi" w:hAnsiTheme="minorHAnsi"/>
        </w:rPr>
        <w:t xml:space="preserve">3 MW për FV, </w:t>
      </w:r>
    </w:p>
    <w:p w14:paraId="2EC4A9E0" w14:textId="77777777" w:rsidR="00F455E4" w:rsidRPr="00E565CD" w:rsidRDefault="009C45D2" w:rsidP="00E565CD">
      <w:pPr>
        <w:pStyle w:val="ListParagraph"/>
        <w:numPr>
          <w:ilvl w:val="0"/>
          <w:numId w:val="27"/>
        </w:numPr>
        <w:spacing w:before="120"/>
        <w:rPr>
          <w:rFonts w:cstheme="minorHAnsi"/>
        </w:rPr>
      </w:pPr>
      <w:r>
        <w:rPr>
          <w:rFonts w:asciiTheme="minorHAnsi" w:hAnsiTheme="minorHAnsi"/>
        </w:rPr>
        <w:t xml:space="preserve">14 MW për biomasë, </w:t>
      </w:r>
    </w:p>
    <w:p w14:paraId="5CD486C4" w14:textId="77777777" w:rsidR="00F455E4" w:rsidRPr="00E565CD" w:rsidRDefault="009C45D2" w:rsidP="00E565CD">
      <w:pPr>
        <w:pStyle w:val="ListParagraph"/>
        <w:numPr>
          <w:ilvl w:val="0"/>
          <w:numId w:val="27"/>
        </w:numPr>
        <w:spacing w:before="120"/>
        <w:rPr>
          <w:rFonts w:cstheme="minorHAnsi"/>
        </w:rPr>
      </w:pPr>
      <w:r>
        <w:rPr>
          <w:rFonts w:asciiTheme="minorHAnsi" w:hAnsiTheme="minorHAnsi"/>
        </w:rPr>
        <w:t xml:space="preserve">35 MW për erë, si dhe </w:t>
      </w:r>
    </w:p>
    <w:p w14:paraId="016165C7" w14:textId="77777777" w:rsidR="00F455E4" w:rsidRPr="00E565CD" w:rsidRDefault="009C45D2" w:rsidP="00E565CD">
      <w:pPr>
        <w:pStyle w:val="ListParagraph"/>
        <w:numPr>
          <w:ilvl w:val="0"/>
          <w:numId w:val="27"/>
        </w:numPr>
        <w:spacing w:before="120"/>
        <w:rPr>
          <w:rFonts w:cstheme="minorHAnsi"/>
        </w:rPr>
      </w:pPr>
      <w:r>
        <w:rPr>
          <w:rFonts w:asciiTheme="minorHAnsi" w:hAnsiTheme="minorHAnsi"/>
        </w:rPr>
        <w:t xml:space="preserve">10 MW për hidro-energji. </w:t>
      </w:r>
    </w:p>
    <w:p w14:paraId="3EA780C0" w14:textId="6042E53E" w:rsidR="009C45D2" w:rsidRPr="0033055B" w:rsidRDefault="009C45D2" w:rsidP="009C45D2">
      <w:pPr>
        <w:spacing w:before="120" w:after="120" w:line="240" w:lineRule="auto"/>
        <w:jc w:val="both"/>
        <w:rPr>
          <w:rFonts w:cstheme="minorHAnsi"/>
        </w:rPr>
      </w:pPr>
      <w:r>
        <w:t>Secili impiant që tejkalon kufijtë e tillë nuk konsiderohet si i kualifikueshëm për skemën mbështetëse.</w:t>
      </w:r>
    </w:p>
    <w:p w14:paraId="3B03285B" w14:textId="77777777" w:rsidR="009C45D2" w:rsidRPr="0033055B" w:rsidRDefault="009C45D2" w:rsidP="005F3BF8">
      <w:pPr>
        <w:spacing w:before="120" w:after="120" w:line="240" w:lineRule="auto"/>
        <w:jc w:val="both"/>
        <w:rPr>
          <w:rFonts w:cstheme="minorHAnsi"/>
          <w:lang w:val="en-GB"/>
        </w:rPr>
      </w:pPr>
    </w:p>
    <w:p w14:paraId="03300666" w14:textId="494E1CB1" w:rsidR="00CF50CC" w:rsidRPr="0033055B" w:rsidRDefault="00CF50CC" w:rsidP="00CF50CC">
      <w:pPr>
        <w:spacing w:before="120" w:after="120" w:line="240" w:lineRule="auto"/>
        <w:jc w:val="both"/>
        <w:rPr>
          <w:rFonts w:cstheme="minorHAnsi"/>
        </w:rPr>
      </w:pPr>
      <w:r>
        <w:t>n)</w:t>
      </w:r>
      <w:r>
        <w:tab/>
        <w:t>Aktualisht</w:t>
      </w:r>
      <w:r w:rsidRPr="00023221">
        <w:t xml:space="preserve">, </w:t>
      </w:r>
      <w:r w:rsidR="003C2E41" w:rsidRPr="00023221">
        <w:t>tarifa nxitëse feed-in</w:t>
      </w:r>
      <w:r w:rsidRPr="00023221">
        <w:t xml:space="preserve"> </w:t>
      </w:r>
      <w:r>
        <w:t>është e vetmja skemë mbështetëse që ofron stimuj financiarë për të arritur caqet e energjisë nga BRE-të. Kushtet për të marrë këtë mbështetje përjashtojnë llojet tjera të stimujve financiarë nga shfrytëzimi i njëkohshëm për projektin në fjalë.</w:t>
      </w:r>
    </w:p>
    <w:p w14:paraId="64723AA3" w14:textId="77777777" w:rsidR="00CF50CC" w:rsidRPr="0033055B" w:rsidRDefault="00CF50CC" w:rsidP="00CF50CC">
      <w:pPr>
        <w:spacing w:before="120" w:after="120" w:line="240" w:lineRule="auto"/>
        <w:jc w:val="both"/>
        <w:rPr>
          <w:rFonts w:cstheme="minorHAnsi"/>
          <w:lang w:val="en-GB"/>
        </w:rPr>
      </w:pPr>
    </w:p>
    <w:p w14:paraId="0D407947" w14:textId="18D31327" w:rsidR="00CF50CC" w:rsidRPr="0033055B" w:rsidRDefault="00CF50CC" w:rsidP="00CF50CC">
      <w:pPr>
        <w:spacing w:before="120" w:after="120" w:line="240" w:lineRule="auto"/>
        <w:jc w:val="both"/>
        <w:rPr>
          <w:rFonts w:cstheme="minorHAnsi"/>
        </w:rPr>
      </w:pPr>
      <w:r>
        <w:t>o)</w:t>
      </w:r>
      <w:r>
        <w:tab/>
        <w:t xml:space="preserve">Aktualisht, nuk ka skema mbështetëse lokale/rajonale të prodhimit të energjisë nga BRE-të. Po të hartoheshin skema të tilla, MZHE-ja do ta shihte këtë si përkrahje të mirëpritur për nxitjen e zhvillimit të BRE-ve. </w:t>
      </w:r>
    </w:p>
    <w:p w14:paraId="7D795F26" w14:textId="77777777" w:rsidR="00CF50CC" w:rsidRPr="0033055B" w:rsidRDefault="00CF50CC" w:rsidP="005F3BF8">
      <w:pPr>
        <w:spacing w:before="120" w:after="120" w:line="240" w:lineRule="auto"/>
        <w:jc w:val="both"/>
        <w:rPr>
          <w:rFonts w:cstheme="minorHAnsi"/>
          <w:lang w:val="en-GB"/>
        </w:rPr>
      </w:pPr>
    </w:p>
    <w:p w14:paraId="34442426" w14:textId="042FEB09" w:rsidR="00A03972" w:rsidRPr="0033055B" w:rsidRDefault="005F3BF8" w:rsidP="005F3BF8">
      <w:pPr>
        <w:spacing w:before="120" w:after="120" w:line="240" w:lineRule="auto"/>
        <w:jc w:val="both"/>
        <w:rPr>
          <w:rFonts w:cstheme="minorHAnsi"/>
        </w:rPr>
      </w:pPr>
      <w:r>
        <w:t xml:space="preserve">Përveç </w:t>
      </w:r>
      <w:r w:rsidR="003C2E41" w:rsidRPr="00023221">
        <w:t>tarifës nxitëse feed-in</w:t>
      </w:r>
      <w:r w:rsidRPr="00023221">
        <w:t xml:space="preserve">, </w:t>
      </w:r>
      <w:r>
        <w:t>skema e granteve për bujq e Ministrisë së Bujqësisë, Pylltarisë dhe Zhvillimit Rural (MBPZHR) është vendosur në programin vjetor të Zhvillimit Rural. Bujqit - pas implementimit të suksesshëm - rimbursohen me 50% të shumës totale të kostos së investimit me këtë skemë.</w:t>
      </w:r>
    </w:p>
    <w:p w14:paraId="352B9CA6" w14:textId="77777777" w:rsidR="00986A3F" w:rsidRPr="0033055B" w:rsidRDefault="00986A3F" w:rsidP="005F3BF8">
      <w:pPr>
        <w:spacing w:before="120" w:after="120" w:line="240" w:lineRule="auto"/>
        <w:jc w:val="both"/>
        <w:rPr>
          <w:rFonts w:cstheme="minorHAnsi"/>
          <w:lang w:val="en-GB"/>
        </w:rPr>
      </w:pPr>
    </w:p>
    <w:p w14:paraId="652553C9" w14:textId="74926EBF" w:rsidR="00986A3F" w:rsidRPr="0033055B" w:rsidRDefault="00986A3F" w:rsidP="00986A3F">
      <w:pPr>
        <w:spacing w:before="120" w:after="120" w:line="240" w:lineRule="auto"/>
        <w:jc w:val="both"/>
        <w:rPr>
          <w:rFonts w:cstheme="minorHAnsi"/>
        </w:rPr>
      </w:pPr>
      <w:r>
        <w:t xml:space="preserve">Zyra e Rregullatorit të Energjisë (ZRRE) ka hartuar dhe miratuar Rregullin për Garancitë e Prejardhjes për energjinë e prodhuar nga BRE-të, djegien e mbeturinave dhe impiantet e kombinuara ngrohje dhe energji, që ka hyrë në fuqi më 29 dhjetor 2010. Korniza për garancitë e origjinës do të zhvillohet e zbatohet më tutje me programin e përkrahur nga BE-ja, me datë përfundimtare të implementimit më 2019. </w:t>
      </w:r>
    </w:p>
    <w:p w14:paraId="640C2ACC" w14:textId="77777777" w:rsidR="00986A3F" w:rsidRPr="0033055B" w:rsidRDefault="00986A3F" w:rsidP="00986A3F">
      <w:pPr>
        <w:spacing w:before="120" w:after="120" w:line="240" w:lineRule="auto"/>
        <w:jc w:val="both"/>
        <w:rPr>
          <w:rFonts w:cstheme="minorHAnsi"/>
        </w:rPr>
      </w:pPr>
      <w:r>
        <w:t xml:space="preserve">Ligji për energjinë elektrike nr. 05/L-085, miratuar së voni nga Parlamenti, merret me Certifikatat e Origjinës për ER-në dhe </w:t>
      </w:r>
      <w:r w:rsidRPr="00023221">
        <w:t xml:space="preserve">ko-gjenerimin </w:t>
      </w:r>
      <w:r>
        <w:t>(neni 8 i Ligjit për energjinë elektrike).</w:t>
      </w:r>
    </w:p>
    <w:p w14:paraId="41D2B9B6" w14:textId="77777777" w:rsidR="00986A3F" w:rsidRPr="0033055B" w:rsidRDefault="00986A3F" w:rsidP="00986A3F">
      <w:pPr>
        <w:spacing w:before="120" w:after="120" w:line="240" w:lineRule="auto"/>
        <w:jc w:val="both"/>
        <w:rPr>
          <w:rFonts w:cstheme="minorHAnsi"/>
        </w:rPr>
      </w:pPr>
      <w:r>
        <w:t xml:space="preserve">Energjia që certifikohet me prejardhje të BR-ve kualifikohet për dispeçing prioritar sipas kushteve të përcaktuara me Kodin e Rrjetit dhe Rregullat e Tregut. OST dhe OSSH janë të obliguar t’i japin përparësi energjisë elektrike të prodhuar nga centralet me ER dhe </w:t>
      </w:r>
      <w:r w:rsidRPr="00023221">
        <w:t>ko-gjenerimit.</w:t>
      </w:r>
    </w:p>
    <w:p w14:paraId="4C2B60A5" w14:textId="45A95E25" w:rsidR="00986A3F" w:rsidRPr="0033055B" w:rsidRDefault="00986A3F" w:rsidP="00986A3F">
      <w:pPr>
        <w:spacing w:before="120" w:after="120" w:line="240" w:lineRule="auto"/>
        <w:jc w:val="both"/>
        <w:rPr>
          <w:rFonts w:cstheme="minorHAnsi"/>
        </w:rPr>
      </w:pPr>
      <w:r>
        <w:t>Furnizuesit me energji elektrike janë të obliguar të blejnë të gjithë</w:t>
      </w:r>
      <w:r w:rsidR="003C2E41">
        <w:t xml:space="preserve"> sasinë e energjisë elektrike nga</w:t>
      </w:r>
      <w:r>
        <w:t xml:space="preserve"> </w:t>
      </w:r>
      <w:r w:rsidR="003C2E41">
        <w:t>BRE</w:t>
      </w:r>
      <w:r>
        <w:t xml:space="preserve">-së të prodhuar me tarifa të rregulluara, përcaktuar nga ZRRE-ja përmes një metodologjie që merr parasysh kompensimin për furnizuesin publik për koston plotësuese të blerjes së energjisë elektrike nga BR-të. ZRRE-ja ka miratuar Rregullin për themelimin e sistemit të certifikatave të origjinës për energjinë elektrike të prodhuar nga BR-të, djegien e mbeturinave dhe impiantet e kombinuara ngrohje dhe energji, që ka hyrë në fuqi më 29 dhjetor 2010. Regjistri i certifikatave ende nuk është funksional. Deri më sot, ZRRE-ja ende nuk ka marrë ndonjë aplikim për nxjerrjen e Certifikatës së origjinës. </w:t>
      </w:r>
    </w:p>
    <w:p w14:paraId="37277880" w14:textId="1ED2C13A" w:rsidR="005F3BF8" w:rsidRPr="0033055B" w:rsidRDefault="00986A3F" w:rsidP="00986A3F">
      <w:pPr>
        <w:spacing w:before="120" w:after="120" w:line="240" w:lineRule="auto"/>
        <w:jc w:val="both"/>
        <w:rPr>
          <w:rFonts w:cstheme="minorHAnsi"/>
        </w:rPr>
      </w:pPr>
      <w:r>
        <w:t>P</w:t>
      </w:r>
      <w:r w:rsidR="003C2E41">
        <w:t>ër aq sa skema e tarifave nxitëse feed-in</w:t>
      </w:r>
      <w:r>
        <w:t xml:space="preserve"> për BRE, e cila i jep përparësi në dispeçing, cakton sasitë e synuara të BRE-së, mungesa e sistemit të certifikatave të origjinës nuk përbën pengesë për shtrirjen e BR-ve. Megjithatë, pasi ato caqe të përmbushen, ose tarifa hyrëse nuk jep më rezultate, sistemi funksional i certifikatave të origjinës do të ishte mënyrë e rëndësishme e promovimit të BR-ve. Mungesa e sistemit të certifikatave të origjinës mund edhe të dëmtojë besimin e investitorëve që Kosova zbaton rregullat e Komunitetit të Energjisë, duke krijuar kështu barrierë të vogël.</w:t>
      </w:r>
    </w:p>
    <w:p w14:paraId="0046A92F" w14:textId="77777777" w:rsidR="00986A3F" w:rsidRPr="0033055B" w:rsidRDefault="00986A3F" w:rsidP="00986A3F">
      <w:pPr>
        <w:spacing w:before="120" w:after="120" w:line="240" w:lineRule="auto"/>
        <w:jc w:val="both"/>
        <w:rPr>
          <w:rFonts w:cstheme="minorHAnsi"/>
          <w:lang w:val="en-GB"/>
        </w:rPr>
      </w:pPr>
    </w:p>
    <w:p w14:paraId="31D52C05" w14:textId="77777777" w:rsidR="00986A3F" w:rsidRPr="0033055B" w:rsidRDefault="00986A3F" w:rsidP="00986A3F">
      <w:pPr>
        <w:spacing w:before="120" w:after="120" w:line="240" w:lineRule="auto"/>
        <w:jc w:val="both"/>
        <w:rPr>
          <w:rFonts w:cstheme="minorHAnsi"/>
        </w:rPr>
      </w:pPr>
      <w:r>
        <w:t xml:space="preserve">Përveç kësaj, në të ardhmen, mundësia e zhvillimit të skemave vijuese duhet të merret parasysh: </w:t>
      </w:r>
    </w:p>
    <w:p w14:paraId="5A067B48" w14:textId="77777777" w:rsidR="00986A3F" w:rsidRPr="0033055B" w:rsidRDefault="00986A3F" w:rsidP="00AB4A2D">
      <w:pPr>
        <w:pStyle w:val="ListParagraph"/>
        <w:numPr>
          <w:ilvl w:val="0"/>
          <w:numId w:val="11"/>
        </w:numPr>
        <w:spacing w:before="120"/>
        <w:rPr>
          <w:rFonts w:asciiTheme="minorHAnsi" w:hAnsiTheme="minorHAnsi" w:cstheme="minorHAnsi"/>
        </w:rPr>
      </w:pPr>
      <w:r>
        <w:rPr>
          <w:rFonts w:asciiTheme="minorHAnsi" w:hAnsiTheme="minorHAnsi"/>
        </w:rPr>
        <w:t>Shkurtimet apo lirimet doganore për pajisjet për BRE.</w:t>
      </w:r>
    </w:p>
    <w:p w14:paraId="45B45B9D" w14:textId="77777777" w:rsidR="00986A3F" w:rsidRPr="0033055B" w:rsidRDefault="00986A3F" w:rsidP="00AB4A2D">
      <w:pPr>
        <w:pStyle w:val="ListParagraph"/>
        <w:numPr>
          <w:ilvl w:val="0"/>
          <w:numId w:val="11"/>
        </w:numPr>
        <w:spacing w:before="120"/>
        <w:rPr>
          <w:rFonts w:asciiTheme="minorHAnsi" w:hAnsiTheme="minorHAnsi" w:cstheme="minorHAnsi"/>
        </w:rPr>
      </w:pPr>
      <w:r>
        <w:rPr>
          <w:rFonts w:asciiTheme="minorHAnsi" w:hAnsiTheme="minorHAnsi"/>
        </w:rPr>
        <w:t>Kreditë apo lirimet nga tatimi në fitim për investime në BRE që sigurojnë punësim rajonal (brenda kompetencës së MF-së).</w:t>
      </w:r>
    </w:p>
    <w:p w14:paraId="332B6370" w14:textId="77777777" w:rsidR="00986A3F" w:rsidRPr="0033055B" w:rsidRDefault="00986A3F" w:rsidP="00AB4A2D">
      <w:pPr>
        <w:pStyle w:val="ListParagraph"/>
        <w:numPr>
          <w:ilvl w:val="0"/>
          <w:numId w:val="11"/>
        </w:numPr>
        <w:spacing w:before="120"/>
        <w:rPr>
          <w:rFonts w:asciiTheme="minorHAnsi" w:hAnsiTheme="minorHAnsi" w:cstheme="minorHAnsi"/>
        </w:rPr>
      </w:pPr>
      <w:r>
        <w:rPr>
          <w:rFonts w:asciiTheme="minorHAnsi" w:hAnsiTheme="minorHAnsi"/>
        </w:rPr>
        <w:t>Krijimi i linjave kreditore me kamata të ulëta për projektet BRE (përmes bashkëpunimit të pritur me bankat zhvillimore).</w:t>
      </w:r>
    </w:p>
    <w:p w14:paraId="22928B84" w14:textId="6E1F56B4" w:rsidR="0028746D" w:rsidRPr="0033055B" w:rsidRDefault="005327A2" w:rsidP="0028746D">
      <w:pPr>
        <w:pStyle w:val="ListParagraph"/>
        <w:numPr>
          <w:ilvl w:val="0"/>
          <w:numId w:val="11"/>
        </w:numPr>
        <w:spacing w:before="120"/>
        <w:rPr>
          <w:rFonts w:asciiTheme="minorHAnsi" w:hAnsiTheme="minorHAnsi" w:cstheme="minorHAnsi"/>
        </w:rPr>
      </w:pPr>
      <w:r>
        <w:rPr>
          <w:rFonts w:asciiTheme="minorHAnsi" w:hAnsiTheme="minorHAnsi"/>
        </w:rPr>
        <w:t>Ankandet për h</w:t>
      </w:r>
      <w:r w:rsidR="003C2E41">
        <w:rPr>
          <w:rFonts w:asciiTheme="minorHAnsi" w:hAnsiTheme="minorHAnsi"/>
        </w:rPr>
        <w:t>idrocentralet e vogla, panelet</w:t>
      </w:r>
      <w:r>
        <w:rPr>
          <w:rFonts w:asciiTheme="minorHAnsi" w:hAnsiTheme="minorHAnsi"/>
        </w:rPr>
        <w:t xml:space="preserve"> fotovoltaike, si dhe projektet me erë.</w:t>
      </w:r>
    </w:p>
    <w:p w14:paraId="6AFF19E5" w14:textId="77777777" w:rsidR="0028746D" w:rsidRPr="0033055B" w:rsidRDefault="0028746D" w:rsidP="007563F9">
      <w:pPr>
        <w:spacing w:before="120" w:after="120" w:line="240" w:lineRule="auto"/>
        <w:jc w:val="both"/>
        <w:rPr>
          <w:rFonts w:cstheme="minorHAnsi"/>
          <w:lang w:val="en-GB"/>
        </w:rPr>
      </w:pPr>
    </w:p>
    <w:p w14:paraId="57916951" w14:textId="5B055EFF" w:rsidR="005E4A0E" w:rsidRPr="0033055B" w:rsidRDefault="005E4A0E" w:rsidP="00E565CD">
      <w:pPr>
        <w:pStyle w:val="Heading2"/>
      </w:pPr>
      <w:bookmarkStart w:id="30" w:name="_Toc518377686"/>
      <w:r>
        <w:t>4.4. Skemat mbështetëse të aplikuara në Kosovë për promovimin e shfrytëzimit të energjisë nga burimet e ripërtërishme në ngrohje dhe ftohje</w:t>
      </w:r>
      <w:bookmarkEnd w:id="30"/>
    </w:p>
    <w:p w14:paraId="00821D79" w14:textId="77777777" w:rsidR="00735A67" w:rsidRPr="0033055B" w:rsidRDefault="0028746D" w:rsidP="00735A67">
      <w:pPr>
        <w:spacing w:before="120" w:after="120" w:line="240" w:lineRule="auto"/>
        <w:jc w:val="both"/>
        <w:rPr>
          <w:rFonts w:cstheme="minorHAnsi"/>
        </w:rPr>
      </w:pPr>
      <w:r>
        <w:t>a)</w:t>
      </w:r>
      <w:r>
        <w:tab/>
        <w:t xml:space="preserve">Deri më sot, nuk ekziston ndonjë skemë mbështetëse për shfrytëzimin e energjisë nga burimet e ripërtërishme në ngrohje e ftohje. </w:t>
      </w:r>
    </w:p>
    <w:p w14:paraId="1AB164A8" w14:textId="77777777" w:rsidR="00735A67" w:rsidRPr="0033055B" w:rsidRDefault="00F93AB0" w:rsidP="00735A67">
      <w:pPr>
        <w:spacing w:before="120" w:after="120" w:line="240" w:lineRule="auto"/>
        <w:jc w:val="both"/>
        <w:rPr>
          <w:rFonts w:cstheme="minorHAnsi"/>
        </w:rPr>
      </w:pPr>
      <w:r>
        <w:t>Udhëzimi Administrativ për shfrytëzimin dhe mbështetjen e gjenerimit të energjisë nga burimet e ripërtërishme (nr. 06/2017) propozon aplikimin e skemës mbështetëse edhe për energjinë termike nga BRE-të (ngrohje dhe ftohje).</w:t>
      </w:r>
    </w:p>
    <w:p w14:paraId="226F2F44" w14:textId="77777777" w:rsidR="00934310" w:rsidRPr="0033055B" w:rsidRDefault="00934310" w:rsidP="00934310">
      <w:r>
        <w:t>Neni 10 parasheh që prodhuesit e energjisë termike nga impiantet që përdorin burime të ripërtërishme të energjisë kualifikohen për pranim në skemën mbështetëse si dhe kanë të drejtë të lidhin marrëveshje me furnizuesin publik për shitjen e energjisë termike me tarifa të rregulluara hyrëse ose pagesa premiumi, që aplikohet deri në nivelin e përmbushjes së caqeve për burimet e ripërtërishme të energjisë në mënyrën më efektive për koston. Rregullatori përcakton metodologjinë për vendosjen e tarifave të rregulluara për blerjen e energjisë termike nga burimet e ripërtërishme nga furnizuesi publik për centralet energjetike nga grupi 1 dhe 2 të nenit 5 të Udhëzimit Administrativ. Tarifat hyrëse përcaktohen për kategoritë kryesore të burimeve të ripërtërishme të energjisë sipas paragrafit 1.1 dhe 1.2 të nenit 5 të Udhëzimit Administrativ si dhe në përputhje me Udhëzimin Administrativ për caqet e energjisë nga burimet e ripërtërishme të energjisë.</w:t>
      </w:r>
    </w:p>
    <w:p w14:paraId="1E750574" w14:textId="77777777" w:rsidR="00735A67" w:rsidRPr="0033055B" w:rsidRDefault="00735A67" w:rsidP="00735A67">
      <w:pPr>
        <w:spacing w:before="120" w:after="120" w:line="240" w:lineRule="auto"/>
        <w:jc w:val="both"/>
        <w:rPr>
          <w:rFonts w:cstheme="minorHAnsi"/>
        </w:rPr>
      </w:pPr>
      <w:r>
        <w:t>Vendosja e skemave plotësuese do të merret parasysh në të ardhmen, duke përfshirë:</w:t>
      </w:r>
    </w:p>
    <w:p w14:paraId="0A5F08C0" w14:textId="77777777" w:rsidR="00F93AB0" w:rsidRPr="0033055B" w:rsidRDefault="00F93AB0" w:rsidP="00F93AB0">
      <w:pPr>
        <w:pStyle w:val="ListParagraph"/>
        <w:numPr>
          <w:ilvl w:val="0"/>
          <w:numId w:val="13"/>
        </w:numPr>
        <w:spacing w:before="120"/>
        <w:rPr>
          <w:rFonts w:ascii="Calibri" w:hAnsi="Calibri" w:cs="Calibri"/>
        </w:rPr>
      </w:pPr>
      <w:r>
        <w:rPr>
          <w:rFonts w:ascii="Calibri" w:hAnsi="Calibri"/>
        </w:rPr>
        <w:t>Aplikimi i granteve investuese, apo pagesave të kapacitetit për ndërtimin e kapaciteteve të ngrohjes dhe ftohjes me BRE, me bio-masë, solare-termike, si dhe energjinë gjeotermike, me përcaktime specifike mbi teknologjitë dhe madhësitë e impianteve të tilla.</w:t>
      </w:r>
    </w:p>
    <w:p w14:paraId="7ADF6229" w14:textId="77777777" w:rsidR="00735A67" w:rsidRPr="0033055B" w:rsidRDefault="00735A67" w:rsidP="00AB4A2D">
      <w:pPr>
        <w:pStyle w:val="ListParagraph"/>
        <w:numPr>
          <w:ilvl w:val="0"/>
          <w:numId w:val="13"/>
        </w:numPr>
        <w:spacing w:before="120"/>
        <w:rPr>
          <w:rFonts w:ascii="Calibri" w:hAnsi="Calibri" w:cs="Calibri"/>
        </w:rPr>
      </w:pPr>
      <w:r>
        <w:rPr>
          <w:rFonts w:ascii="Calibri" w:hAnsi="Calibri"/>
        </w:rPr>
        <w:t xml:space="preserve">Lirimet apo zbritjet doganore dhe të TVSH-së për pajisjet BRE (nën juridiksionin e MF-së); </w:t>
      </w:r>
    </w:p>
    <w:p w14:paraId="66C5AE20" w14:textId="77777777" w:rsidR="00735A67" w:rsidRPr="0033055B" w:rsidRDefault="00735A67" w:rsidP="00AB4A2D">
      <w:pPr>
        <w:pStyle w:val="ListParagraph"/>
        <w:numPr>
          <w:ilvl w:val="0"/>
          <w:numId w:val="13"/>
        </w:numPr>
        <w:spacing w:before="120"/>
        <w:rPr>
          <w:rFonts w:ascii="Calibri" w:hAnsi="Calibri" w:cs="Calibri"/>
        </w:rPr>
      </w:pPr>
      <w:r>
        <w:rPr>
          <w:rFonts w:ascii="Calibri" w:hAnsi="Calibri"/>
        </w:rPr>
        <w:t xml:space="preserve">Krijimi i linjave kreditore me kamata të ulëta për projektet BRE (përmes bashkëpunimit të pritur me bankat zhvillimore);  </w:t>
      </w:r>
    </w:p>
    <w:p w14:paraId="48B5E129" w14:textId="77777777" w:rsidR="00735A67" w:rsidRPr="0033055B" w:rsidRDefault="00735A67" w:rsidP="00AB4A2D">
      <w:pPr>
        <w:pStyle w:val="ListParagraph"/>
        <w:numPr>
          <w:ilvl w:val="0"/>
          <w:numId w:val="13"/>
        </w:numPr>
        <w:spacing w:before="120"/>
        <w:rPr>
          <w:rFonts w:ascii="Calibri" w:hAnsi="Calibri" w:cs="Calibri"/>
        </w:rPr>
      </w:pPr>
      <w:r>
        <w:rPr>
          <w:rFonts w:ascii="Calibri" w:hAnsi="Calibri"/>
        </w:rPr>
        <w:t>Inkurajimi i bashkëpunimit me grupet e interesit për të siguruar shfrytëzim më të madh të energjisë nga biomasa, dielli dhe energjisë gjeotermike.</w:t>
      </w:r>
    </w:p>
    <w:p w14:paraId="048BAC14" w14:textId="77777777" w:rsidR="00735A67" w:rsidRPr="0033055B" w:rsidRDefault="00735A67" w:rsidP="00735A67">
      <w:pPr>
        <w:spacing w:before="120" w:after="120" w:line="240" w:lineRule="auto"/>
        <w:jc w:val="both"/>
        <w:rPr>
          <w:rFonts w:cstheme="minorHAnsi"/>
          <w:lang w:val="en-GB"/>
        </w:rPr>
      </w:pPr>
    </w:p>
    <w:p w14:paraId="7D5527FF" w14:textId="7FB25235" w:rsidR="00735A67" w:rsidRPr="0033055B" w:rsidRDefault="0028746D" w:rsidP="00735A67">
      <w:pPr>
        <w:spacing w:before="120" w:after="120" w:line="240" w:lineRule="auto"/>
        <w:jc w:val="both"/>
        <w:rPr>
          <w:rFonts w:cstheme="minorHAnsi"/>
        </w:rPr>
      </w:pPr>
      <w:r>
        <w:t>b)</w:t>
      </w:r>
      <w:r>
        <w:tab/>
        <w:t xml:space="preserve">Deri më sot, nuk ekzistojnë skema mbështetëse për </w:t>
      </w:r>
      <w:r w:rsidRPr="00023221">
        <w:t xml:space="preserve">ko-gjenerimin </w:t>
      </w:r>
      <w:r>
        <w:t xml:space="preserve">nga BRE-të. Në rishikimin e sistemit të tarifave mbështetëse, aplikimi i bonusit plotësues propozohet për prodhimin/shfrytëzimin e ngrohjes dhe ftohjes në </w:t>
      </w:r>
      <w:r w:rsidRPr="00023221">
        <w:t xml:space="preserve">ko-gjenerim </w:t>
      </w:r>
      <w:r>
        <w:t xml:space="preserve">nga BRE-të, sipas UA-së për shfrytëzimin dhe promovimin e energjisë nga BRE-të.  </w:t>
      </w:r>
    </w:p>
    <w:p w14:paraId="46EC4C56" w14:textId="77777777" w:rsidR="00735A67" w:rsidRPr="0033055B" w:rsidRDefault="00735A67" w:rsidP="00735A67">
      <w:pPr>
        <w:spacing w:before="120" w:after="120" w:line="240" w:lineRule="auto"/>
        <w:jc w:val="both"/>
        <w:rPr>
          <w:rFonts w:cstheme="minorHAnsi"/>
          <w:lang w:val="en-GB"/>
        </w:rPr>
      </w:pPr>
    </w:p>
    <w:p w14:paraId="72394BE4" w14:textId="77777777" w:rsidR="00735A67" w:rsidRPr="0033055B" w:rsidRDefault="0028746D" w:rsidP="00735A67">
      <w:pPr>
        <w:spacing w:before="120" w:after="120" w:line="240" w:lineRule="auto"/>
        <w:jc w:val="both"/>
        <w:rPr>
          <w:rFonts w:cstheme="minorHAnsi"/>
        </w:rPr>
      </w:pPr>
      <w:r>
        <w:t>c) Deri më sot, nuk ekzistojnë skema të tilla mbështetëse.</w:t>
      </w:r>
    </w:p>
    <w:p w14:paraId="7A45BC0B" w14:textId="7708B156" w:rsidR="005327A2" w:rsidRDefault="00735A67" w:rsidP="00735A67">
      <w:pPr>
        <w:spacing w:before="120" w:after="120" w:line="240" w:lineRule="auto"/>
        <w:jc w:val="both"/>
        <w:rPr>
          <w:rFonts w:cstheme="minorHAnsi"/>
        </w:rPr>
      </w:pPr>
      <w:r>
        <w:t xml:space="preserve">Prodhimi i energjisë së ngrohjes dhe shpërndarja e saj përmes rrjetit të NQ-së do të mbështeten nga bonuset plotësuese që aplikohen për prodhimin/shfrytëzimin e ngrohjes nga </w:t>
      </w:r>
      <w:r w:rsidRPr="00023221">
        <w:t xml:space="preserve">ko-gjenerimi </w:t>
      </w:r>
      <w:r>
        <w:t>me BRE, ose nga skemat e mbështetjes për energjinë e ngrohjes nga BRE-të në bazë të UA-së për shfrytëzimin dhe promovimin e energjisë nga BRE-të.</w:t>
      </w:r>
    </w:p>
    <w:p w14:paraId="1B216311" w14:textId="604BF1BF" w:rsidR="00735A67" w:rsidRPr="0033055B" w:rsidRDefault="00735A67" w:rsidP="00735A67">
      <w:pPr>
        <w:spacing w:before="120" w:after="120" w:line="240" w:lineRule="auto"/>
        <w:jc w:val="both"/>
        <w:rPr>
          <w:rFonts w:cstheme="minorHAnsi"/>
        </w:rPr>
      </w:pPr>
      <w:r>
        <w:t xml:space="preserve">.  </w:t>
      </w:r>
    </w:p>
    <w:p w14:paraId="6AE232C1" w14:textId="199D47A2" w:rsidR="00735A67" w:rsidRPr="0033055B" w:rsidRDefault="00735A67" w:rsidP="00735A67">
      <w:pPr>
        <w:spacing w:before="120" w:after="120" w:line="240" w:lineRule="auto"/>
        <w:jc w:val="both"/>
        <w:rPr>
          <w:rFonts w:cstheme="minorHAnsi"/>
        </w:rPr>
      </w:pPr>
      <w:r>
        <w:t xml:space="preserve">Përveç këtyre, kuota obligative e energjisë nga BRE-të për furnizuesin publik të energjisë nga BRE-të do të propozohen të mbështeten në pajtim me skemat mbështetëse për gjenerimin e ngrohjes nga BRE-të, në bazë të UA-së për shfrytëzimin dhe promovimin e energjisë nga BRE-të.  </w:t>
      </w:r>
    </w:p>
    <w:p w14:paraId="02C1FD12" w14:textId="77777777" w:rsidR="00735A67" w:rsidRPr="0033055B" w:rsidRDefault="00735A67" w:rsidP="00735A67">
      <w:pPr>
        <w:spacing w:before="120" w:after="120" w:line="240" w:lineRule="auto"/>
        <w:jc w:val="both"/>
        <w:rPr>
          <w:rFonts w:cstheme="minorHAnsi"/>
          <w:lang w:val="en-GB"/>
        </w:rPr>
      </w:pPr>
    </w:p>
    <w:p w14:paraId="67163ED4" w14:textId="77777777" w:rsidR="00735A67" w:rsidRPr="0033055B" w:rsidRDefault="0028746D" w:rsidP="00735A67">
      <w:pPr>
        <w:spacing w:before="120" w:after="120" w:line="240" w:lineRule="auto"/>
        <w:jc w:val="both"/>
        <w:rPr>
          <w:rFonts w:cstheme="minorHAnsi"/>
        </w:rPr>
      </w:pPr>
      <w:r>
        <w:t>d)</w:t>
      </w:r>
      <w:r>
        <w:tab/>
        <w:t>Deri më sot, nuk ekzistojnë skema mbështetëse për të inkurajuar shfrytëzimin e ngrohjes dhe ftohjes në masë të vogël nga BRE-të.</w:t>
      </w:r>
    </w:p>
    <w:p w14:paraId="5B753A0F" w14:textId="77777777" w:rsidR="00735A67" w:rsidRPr="0033055B" w:rsidRDefault="00735A67" w:rsidP="00735A67">
      <w:pPr>
        <w:spacing w:before="120" w:after="120" w:line="240" w:lineRule="auto"/>
        <w:jc w:val="both"/>
        <w:rPr>
          <w:rFonts w:cstheme="minorHAnsi"/>
          <w:lang w:val="en-GB"/>
        </w:rPr>
      </w:pPr>
    </w:p>
    <w:p w14:paraId="3B4149A3" w14:textId="77777777" w:rsidR="005E4A0E" w:rsidRPr="0033055B" w:rsidRDefault="0028746D" w:rsidP="00735A67">
      <w:pPr>
        <w:spacing w:before="120" w:after="120" w:line="240" w:lineRule="auto"/>
        <w:jc w:val="both"/>
        <w:rPr>
          <w:rFonts w:cstheme="minorHAnsi"/>
        </w:rPr>
      </w:pPr>
      <w:r>
        <w:t>e)</w:t>
      </w:r>
      <w:r>
        <w:tab/>
        <w:t xml:space="preserve">Deri më sot, nuk ekzistojnë skema mbështetëse për të inkurajuar shfrytëzimin e ngrohjes dhe ftohjes nga BRE-të në aplikimet industriale.   </w:t>
      </w:r>
    </w:p>
    <w:p w14:paraId="52B2B32D" w14:textId="77777777" w:rsidR="00986A3F" w:rsidRPr="0033055B" w:rsidRDefault="00986A3F" w:rsidP="005E4A0E">
      <w:pPr>
        <w:spacing w:before="120" w:after="120" w:line="240" w:lineRule="auto"/>
        <w:jc w:val="both"/>
        <w:rPr>
          <w:rFonts w:cstheme="minorHAnsi"/>
          <w:lang w:val="en-GB"/>
        </w:rPr>
      </w:pPr>
    </w:p>
    <w:p w14:paraId="2C90B1B2" w14:textId="6A907311" w:rsidR="005E4A0E" w:rsidRPr="0033055B" w:rsidRDefault="005E4A0E" w:rsidP="00E565CD">
      <w:pPr>
        <w:pStyle w:val="Heading2"/>
      </w:pPr>
      <w:bookmarkStart w:id="31" w:name="_Toc518377687"/>
      <w:r>
        <w:t>4.5. Skemat mbështetëse për promovimin e shfrytëzimit të energjisë nga burimet e ripërtërishme në transport, të aplikuara nga Shtetet Anëtare, apo një grup Shtetesh Anëtare</w:t>
      </w:r>
      <w:bookmarkEnd w:id="31"/>
    </w:p>
    <w:p w14:paraId="45FDC62A" w14:textId="77777777" w:rsidR="00B72EBD" w:rsidRPr="0033055B" w:rsidRDefault="00B72EBD" w:rsidP="00B72EBD">
      <w:pPr>
        <w:spacing w:before="120" w:after="120" w:line="240" w:lineRule="auto"/>
        <w:jc w:val="both"/>
        <w:rPr>
          <w:rFonts w:cstheme="minorHAnsi"/>
        </w:rPr>
      </w:pPr>
      <w:r>
        <w:t xml:space="preserve">Deri më sot, nuk ekziston ndonjë skemë mbështetëse për shfrytëzimin e burimeve të ripërtërishme në transport. </w:t>
      </w:r>
    </w:p>
    <w:p w14:paraId="33A8248E" w14:textId="77777777" w:rsidR="00B72EBD" w:rsidRPr="0033055B" w:rsidRDefault="00B72EBD" w:rsidP="00B72EBD">
      <w:pPr>
        <w:spacing w:before="120" w:after="120" w:line="240" w:lineRule="auto"/>
        <w:jc w:val="both"/>
        <w:rPr>
          <w:rFonts w:cstheme="minorHAnsi"/>
        </w:rPr>
      </w:pPr>
      <w:r>
        <w:t xml:space="preserve">Masat kryesore të promovimit të shfrytëzimit të energjisë nga burimet e ripërtërishme do të jetë kuota obligative për shfrytëzimin e bio-karburanteve në transport. </w:t>
      </w:r>
    </w:p>
    <w:p w14:paraId="548F399F" w14:textId="77777777" w:rsidR="00B72EBD" w:rsidRPr="0033055B" w:rsidRDefault="00B72EBD" w:rsidP="00B72EBD">
      <w:pPr>
        <w:spacing w:before="120" w:after="120" w:line="240" w:lineRule="auto"/>
        <w:jc w:val="both"/>
        <w:rPr>
          <w:rFonts w:cstheme="minorHAnsi"/>
        </w:rPr>
      </w:pPr>
      <w:r>
        <w:t xml:space="preserve">Përveç këtyre, në të ardhmen, do të konsiderohen dhe zhvillohen skemat vijuese: </w:t>
      </w:r>
    </w:p>
    <w:p w14:paraId="15A26108" w14:textId="77777777" w:rsidR="00B72EBD" w:rsidRPr="0033055B" w:rsidRDefault="00B72EBD" w:rsidP="00AB4A2D">
      <w:pPr>
        <w:pStyle w:val="ListParagraph"/>
        <w:numPr>
          <w:ilvl w:val="0"/>
          <w:numId w:val="14"/>
        </w:numPr>
        <w:spacing w:before="120"/>
        <w:rPr>
          <w:rFonts w:ascii="Calibri" w:hAnsi="Calibri" w:cs="Calibri"/>
        </w:rPr>
      </w:pPr>
      <w:r>
        <w:rPr>
          <w:rFonts w:ascii="Calibri" w:hAnsi="Calibri"/>
        </w:rPr>
        <w:t xml:space="preserve">Lirimet nga taksa e akcizës për bio-lëndë që vihen në treg (brenda juridiksionit të MF-së) </w:t>
      </w:r>
    </w:p>
    <w:p w14:paraId="11712256" w14:textId="77777777" w:rsidR="00B72EBD" w:rsidRPr="0033055B" w:rsidRDefault="00B72EBD" w:rsidP="00B72EBD">
      <w:pPr>
        <w:spacing w:before="120" w:after="120" w:line="240" w:lineRule="auto"/>
        <w:jc w:val="both"/>
        <w:rPr>
          <w:rFonts w:cstheme="minorHAnsi"/>
          <w:lang w:val="en-GB"/>
        </w:rPr>
      </w:pPr>
    </w:p>
    <w:p w14:paraId="3C3EFA16" w14:textId="77777777" w:rsidR="00B72EBD" w:rsidRPr="0033055B" w:rsidRDefault="00B72EBD" w:rsidP="00B72EBD">
      <w:pPr>
        <w:spacing w:before="120" w:after="120" w:line="240" w:lineRule="auto"/>
        <w:jc w:val="both"/>
        <w:rPr>
          <w:rFonts w:cstheme="minorHAnsi"/>
        </w:rPr>
      </w:pPr>
      <w:r>
        <w:t xml:space="preserve">Skema e kuotave obligative </w:t>
      </w:r>
    </w:p>
    <w:p w14:paraId="570CE459" w14:textId="77777777" w:rsidR="00B72EBD" w:rsidRPr="0033055B" w:rsidRDefault="00B72EBD" w:rsidP="00B72EBD">
      <w:pPr>
        <w:spacing w:before="120" w:after="120" w:line="240" w:lineRule="auto"/>
        <w:jc w:val="both"/>
        <w:rPr>
          <w:rFonts w:cstheme="minorHAnsi"/>
        </w:rPr>
      </w:pPr>
      <w:r>
        <w:t>a)</w:t>
      </w:r>
      <w:r>
        <w:tab/>
        <w:t xml:space="preserve">Projektligji për tregun e naftës dhe produkteve të naftës në Kosovë merret me çështjet e bio-karburanteve në përgjithësi, ndërsa caqet për konsumin e bio-karburanteve në transport dhe kriteret e qëndrueshmërisë do të përcaktohen me Udhëzimin Administrativ për përdorimin e bio-karburanteve dhe bio-lëngjeve në transport. </w:t>
      </w:r>
    </w:p>
    <w:p w14:paraId="24A119AD" w14:textId="77777777" w:rsidR="00B72EBD" w:rsidRPr="0033055B" w:rsidRDefault="00B72EBD" w:rsidP="00B72EBD">
      <w:pPr>
        <w:spacing w:before="120" w:after="120" w:line="240" w:lineRule="auto"/>
        <w:jc w:val="both"/>
        <w:rPr>
          <w:rFonts w:cstheme="minorHAnsi"/>
        </w:rPr>
      </w:pPr>
      <w:r>
        <w:t xml:space="preserve">Udhëzimi Administrativ në fjalë do të specifikojë caqet e përdorimit të bio-karburanteve për secilin vit, deri më 2020. Këto caqe do të jenë obligative për të gjithë furnizuesit e produkteve të naftës. </w:t>
      </w:r>
    </w:p>
    <w:p w14:paraId="5362D88A" w14:textId="77777777" w:rsidR="00B72EBD" w:rsidRPr="0033055B" w:rsidRDefault="00B72EBD" w:rsidP="00B72EBD">
      <w:pPr>
        <w:spacing w:before="120" w:after="120" w:line="240" w:lineRule="auto"/>
        <w:jc w:val="both"/>
        <w:rPr>
          <w:rFonts w:cstheme="minorHAnsi"/>
          <w:lang w:val="en-GB"/>
        </w:rPr>
      </w:pPr>
    </w:p>
    <w:p w14:paraId="121A060B" w14:textId="77777777" w:rsidR="00B72EBD" w:rsidRPr="0033055B" w:rsidRDefault="00B72EBD" w:rsidP="00B72EBD">
      <w:pPr>
        <w:spacing w:before="120" w:after="120" w:line="240" w:lineRule="auto"/>
        <w:jc w:val="both"/>
        <w:rPr>
          <w:rFonts w:cstheme="minorHAnsi"/>
        </w:rPr>
      </w:pPr>
      <w:r>
        <w:t>b) Udhëzimi Administrativ për përdorimin e bio-karburanteve dhe bio-lëngjeve në transport do të përmbajë caqet indikative për Bioetanol dhe Biodizel, por obligimi do të caktohet sipas përqindjes së bio-karburantit në karburantet totale të vëna në treg nga furnizuesi i caktuar i produkteve të naftës.</w:t>
      </w:r>
    </w:p>
    <w:p w14:paraId="0B669AA8" w14:textId="77777777" w:rsidR="00B72EBD" w:rsidRPr="0033055B" w:rsidRDefault="00B72EBD" w:rsidP="00B72EBD">
      <w:pPr>
        <w:spacing w:before="120" w:after="120" w:line="240" w:lineRule="auto"/>
        <w:jc w:val="both"/>
        <w:rPr>
          <w:rFonts w:cstheme="minorHAnsi"/>
          <w:lang w:val="en-GB"/>
        </w:rPr>
      </w:pPr>
    </w:p>
    <w:p w14:paraId="7A47DD85" w14:textId="77777777" w:rsidR="00B72EBD" w:rsidRPr="0033055B" w:rsidRDefault="00B72EBD" w:rsidP="00B72EBD">
      <w:pPr>
        <w:spacing w:before="120" w:after="120" w:line="240" w:lineRule="auto"/>
        <w:jc w:val="both"/>
        <w:rPr>
          <w:rFonts w:cstheme="minorHAnsi"/>
        </w:rPr>
      </w:pPr>
      <w:r>
        <w:t>c)</w:t>
      </w:r>
      <w:r>
        <w:tab/>
        <w:t>Udhëzimi Administrativ për përdorimin e bio-karburanteve dhe bio-lëngjeve në transport do të përmbajë obligimet konkrete për përdorimin e bio-karburanteve.</w:t>
      </w:r>
    </w:p>
    <w:p w14:paraId="320A23E4" w14:textId="77777777" w:rsidR="00B72EBD" w:rsidRPr="0033055B" w:rsidRDefault="00B72EBD" w:rsidP="00B72EBD">
      <w:pPr>
        <w:spacing w:before="120" w:after="120" w:line="240" w:lineRule="auto"/>
        <w:jc w:val="both"/>
        <w:rPr>
          <w:rFonts w:cstheme="minorHAnsi"/>
          <w:lang w:val="en-GB"/>
        </w:rPr>
      </w:pPr>
    </w:p>
    <w:p w14:paraId="4A0F9CF2" w14:textId="77777777" w:rsidR="00B72EBD" w:rsidRPr="0033055B" w:rsidRDefault="00B72EBD" w:rsidP="00B72EBD">
      <w:pPr>
        <w:spacing w:before="120" w:after="120" w:line="240" w:lineRule="auto"/>
        <w:jc w:val="both"/>
        <w:rPr>
          <w:rFonts w:cstheme="minorHAnsi"/>
        </w:rPr>
      </w:pPr>
      <w:r>
        <w:t>d)</w:t>
      </w:r>
      <w:r>
        <w:tab/>
        <w:t xml:space="preserve">Obligimi do të caktohet për të gjithë furnizuesit (mundësisht edhe distributorët - rishitësit) e produkteve të naftës. </w:t>
      </w:r>
    </w:p>
    <w:p w14:paraId="5404D5D1" w14:textId="77777777" w:rsidR="00B72EBD" w:rsidRPr="0033055B" w:rsidRDefault="00B72EBD" w:rsidP="00B72EBD">
      <w:pPr>
        <w:spacing w:before="120" w:after="120" w:line="240" w:lineRule="auto"/>
        <w:jc w:val="both"/>
        <w:rPr>
          <w:rFonts w:cstheme="minorHAnsi"/>
          <w:lang w:val="en-GB"/>
        </w:rPr>
      </w:pPr>
    </w:p>
    <w:p w14:paraId="588B8DF6" w14:textId="77777777" w:rsidR="00B72EBD" w:rsidRPr="0033055B" w:rsidRDefault="00B72EBD" w:rsidP="00B72EBD">
      <w:pPr>
        <w:spacing w:before="120" w:after="120" w:line="240" w:lineRule="auto"/>
        <w:jc w:val="both"/>
        <w:rPr>
          <w:rFonts w:cstheme="minorHAnsi"/>
        </w:rPr>
      </w:pPr>
      <w:r>
        <w:t>e)</w:t>
      </w:r>
      <w:r>
        <w:tab/>
        <w:t>Ka edhe dispozita ndëshkuese në projektligjin për naftën dhe produktet e naftës në Kosovë.</w:t>
      </w:r>
    </w:p>
    <w:p w14:paraId="7CD20ACD" w14:textId="77777777" w:rsidR="00B72EBD" w:rsidRPr="0033055B" w:rsidRDefault="00B72EBD" w:rsidP="00B72EBD">
      <w:pPr>
        <w:spacing w:before="120" w:after="120" w:line="240" w:lineRule="auto"/>
        <w:jc w:val="both"/>
        <w:rPr>
          <w:rFonts w:cstheme="minorHAnsi"/>
          <w:lang w:val="en-GB"/>
        </w:rPr>
      </w:pPr>
    </w:p>
    <w:p w14:paraId="20F56504" w14:textId="77777777" w:rsidR="00B72EBD" w:rsidRPr="0033055B" w:rsidRDefault="00B72EBD" w:rsidP="00B72EBD">
      <w:pPr>
        <w:spacing w:before="120" w:after="120" w:line="240" w:lineRule="auto"/>
        <w:jc w:val="both"/>
        <w:rPr>
          <w:rFonts w:cstheme="minorHAnsi"/>
        </w:rPr>
      </w:pPr>
      <w:r>
        <w:t>f)</w:t>
      </w:r>
      <w:r>
        <w:tab/>
        <w:t xml:space="preserve">Sipas Udhëzimit Administrativ 07/2012 për cilësinë e lëndëve djegëse të nxjerra nga nafta, të gjithë furnizuesit e naftës dhe produkteve të naftës duhet t’i dërgojnë raport Ministrisë së Tregtisë dhe Industrisë mbi sasinë e secilës lëndë që e fusin në treg.  </w:t>
      </w:r>
    </w:p>
    <w:p w14:paraId="01311EC0" w14:textId="77777777" w:rsidR="00B72EBD" w:rsidRPr="0033055B" w:rsidRDefault="00B72EBD" w:rsidP="00B72EBD">
      <w:pPr>
        <w:spacing w:before="120" w:after="120" w:line="240" w:lineRule="auto"/>
        <w:jc w:val="both"/>
        <w:rPr>
          <w:rFonts w:cstheme="minorHAnsi"/>
          <w:lang w:val="en-GB"/>
        </w:rPr>
      </w:pPr>
    </w:p>
    <w:p w14:paraId="54756C7D" w14:textId="77777777" w:rsidR="005E4A0E" w:rsidRPr="0033055B" w:rsidRDefault="00B72EBD" w:rsidP="00B72EBD">
      <w:pPr>
        <w:spacing w:before="120" w:after="120" w:line="240" w:lineRule="auto"/>
        <w:jc w:val="both"/>
        <w:rPr>
          <w:rFonts w:cstheme="minorHAnsi"/>
        </w:rPr>
      </w:pPr>
      <w:r>
        <w:t>g)</w:t>
      </w:r>
      <w:r>
        <w:tab/>
        <w:t xml:space="preserve">Nuk parashihet ndonjë mekanizëm për modifikimin e caqeve, por sipas raporteve vjetore, MTI-ja posedon informata mbi zhvillimin e tregut. Pasi që caqet do të rregullohen me UA për përdorimin e bio-lëndëve në transport, UA-ja mund të ndryshohet sipas nevojës.  </w:t>
      </w:r>
    </w:p>
    <w:p w14:paraId="37CFCEDA" w14:textId="77777777" w:rsidR="00986A3F" w:rsidRPr="0033055B" w:rsidRDefault="00986A3F" w:rsidP="005E4A0E">
      <w:pPr>
        <w:spacing w:before="120" w:after="120" w:line="240" w:lineRule="auto"/>
        <w:jc w:val="both"/>
        <w:rPr>
          <w:rFonts w:cstheme="minorHAnsi"/>
          <w:lang w:val="en-GB"/>
        </w:rPr>
      </w:pPr>
    </w:p>
    <w:p w14:paraId="3A3F6586" w14:textId="35E977FD" w:rsidR="005E4A0E" w:rsidRPr="0033055B" w:rsidRDefault="005E4A0E" w:rsidP="00E565CD">
      <w:pPr>
        <w:pStyle w:val="Heading2"/>
      </w:pPr>
      <w:bookmarkStart w:id="32" w:name="_Toc518377688"/>
      <w:r>
        <w:t>4.6. Masat specifike për promovimin e shfrytëzimit të energjisë nga biomasa</w:t>
      </w:r>
      <w:bookmarkEnd w:id="32"/>
    </w:p>
    <w:p w14:paraId="2D26A7D6" w14:textId="77777777" w:rsidR="005E4A0E" w:rsidRPr="0033055B" w:rsidRDefault="005E4A0E" w:rsidP="005E4A0E">
      <w:pPr>
        <w:spacing w:before="120" w:after="120" w:line="240" w:lineRule="auto"/>
        <w:jc w:val="both"/>
        <w:rPr>
          <w:rFonts w:cstheme="minorHAnsi"/>
          <w:lang w:val="en-GB"/>
        </w:rPr>
      </w:pPr>
    </w:p>
    <w:p w14:paraId="3F0194A2" w14:textId="77777777" w:rsidR="005E4A0E" w:rsidRPr="0033055B" w:rsidRDefault="005E4A0E" w:rsidP="00455E08">
      <w:pPr>
        <w:spacing w:before="240" w:after="240" w:line="240" w:lineRule="auto"/>
        <w:jc w:val="both"/>
        <w:rPr>
          <w:rFonts w:cstheme="minorHAnsi"/>
          <w:i/>
        </w:rPr>
      </w:pPr>
      <w:r>
        <w:rPr>
          <w:i/>
        </w:rPr>
        <w:t>4.6.1. Furnizimi i biomasës: vendore dhe nga tregtia</w:t>
      </w:r>
    </w:p>
    <w:p w14:paraId="3AAFE72A" w14:textId="77777777" w:rsidR="00A7659D" w:rsidRPr="0033055B" w:rsidRDefault="00A7659D" w:rsidP="00455E08">
      <w:pPr>
        <w:spacing w:before="240" w:after="240" w:line="240" w:lineRule="auto"/>
        <w:jc w:val="both"/>
        <w:rPr>
          <w:rFonts w:cstheme="minorHAnsi"/>
          <w:i/>
          <w:lang w:val="en-GB"/>
        </w:rPr>
      </w:pPr>
    </w:p>
    <w:p w14:paraId="094407B5" w14:textId="77777777" w:rsidR="00963645" w:rsidRPr="0033055B" w:rsidRDefault="00963645" w:rsidP="00455E08">
      <w:pPr>
        <w:spacing w:before="240" w:after="240" w:line="240" w:lineRule="auto"/>
        <w:jc w:val="both"/>
        <w:rPr>
          <w:rFonts w:cstheme="minorHAnsi"/>
          <w:i/>
          <w:lang w:val="en-GB"/>
        </w:rPr>
      </w:pPr>
    </w:p>
    <w:p w14:paraId="11E86F3E" w14:textId="77777777" w:rsidR="00963645" w:rsidRPr="0033055B" w:rsidRDefault="00963645" w:rsidP="00455E08">
      <w:pPr>
        <w:spacing w:before="240" w:after="240" w:line="240" w:lineRule="auto"/>
        <w:jc w:val="both"/>
        <w:rPr>
          <w:rFonts w:cstheme="minorHAnsi"/>
          <w:i/>
          <w:lang w:val="en-GB"/>
        </w:rPr>
        <w:sectPr w:rsidR="00963645" w:rsidRPr="0033055B" w:rsidSect="00A83AC7">
          <w:pgSz w:w="12240" w:h="15840"/>
          <w:pgMar w:top="1440" w:right="1440" w:bottom="1134" w:left="1440" w:header="720" w:footer="720" w:gutter="0"/>
          <w:cols w:space="720"/>
          <w:docGrid w:linePitch="360"/>
        </w:sectPr>
      </w:pPr>
    </w:p>
    <w:p w14:paraId="1D0051C0" w14:textId="4FBD3CC5" w:rsidR="00A7659D" w:rsidRPr="0033055B" w:rsidRDefault="00172498" w:rsidP="00A7659D">
      <w:pPr>
        <w:spacing w:before="120" w:after="120" w:line="240" w:lineRule="auto"/>
        <w:jc w:val="center"/>
        <w:rPr>
          <w:rFonts w:cstheme="minorHAnsi"/>
          <w:b/>
        </w:rPr>
      </w:pPr>
      <w:bookmarkStart w:id="33" w:name="_Toc518377704"/>
      <w:r>
        <w:rPr>
          <w:rFonts w:ascii="Calibri" w:hAnsi="Calibri"/>
          <w:b/>
          <w:iCs/>
        </w:rPr>
        <w:t xml:space="preserve">Tabela </w:t>
      </w:r>
      <w:r w:rsidR="00724C64" w:rsidRPr="00EB1E33">
        <w:rPr>
          <w:rFonts w:ascii="Calibri" w:eastAsia="Calibri" w:hAnsi="Calibri"/>
          <w:b/>
          <w:iCs/>
        </w:rPr>
        <w:fldChar w:fldCharType="begin"/>
      </w:r>
      <w:r w:rsidRPr="0033055B">
        <w:rPr>
          <w:rFonts w:ascii="Calibri" w:eastAsia="Calibri" w:hAnsi="Calibri"/>
          <w:b/>
          <w:iCs/>
        </w:rPr>
        <w:instrText xml:space="preserve"> SEQ Table \* ARABIC </w:instrText>
      </w:r>
      <w:r w:rsidR="00724C64" w:rsidRPr="00EB1E33">
        <w:rPr>
          <w:rFonts w:ascii="Calibri" w:eastAsia="Calibri" w:hAnsi="Calibri"/>
          <w:b/>
          <w:iCs/>
        </w:rPr>
        <w:fldChar w:fldCharType="separate"/>
      </w:r>
      <w:r w:rsidR="00DC4741">
        <w:rPr>
          <w:rFonts w:ascii="Calibri" w:eastAsia="Calibri" w:hAnsi="Calibri"/>
          <w:b/>
          <w:iCs/>
          <w:noProof/>
        </w:rPr>
        <w:t>12</w:t>
      </w:r>
      <w:r w:rsidR="00724C64" w:rsidRPr="00EB1E33">
        <w:rPr>
          <w:rFonts w:ascii="Calibri" w:eastAsia="Calibri" w:hAnsi="Calibri"/>
          <w:b/>
          <w:iCs/>
        </w:rPr>
        <w:fldChar w:fldCharType="end"/>
      </w:r>
      <w:r>
        <w:rPr>
          <w:b/>
        </w:rPr>
        <w:t>: Furnizimi i biomasës më 2009</w:t>
      </w:r>
      <w:bookmarkEnd w:id="33"/>
    </w:p>
    <w:tbl>
      <w:tblPr>
        <w:tblW w:w="1031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1620"/>
        <w:gridCol w:w="3060"/>
        <w:gridCol w:w="1080"/>
        <w:gridCol w:w="607"/>
        <w:gridCol w:w="697"/>
        <w:gridCol w:w="1092"/>
        <w:gridCol w:w="1080"/>
        <w:gridCol w:w="1080"/>
      </w:tblGrid>
      <w:tr w:rsidR="00FF07DC" w:rsidRPr="0033055B" w14:paraId="0C36AF68" w14:textId="77777777" w:rsidTr="00FF07DC">
        <w:trPr>
          <w:trHeight w:val="623"/>
          <w:tblHeader/>
        </w:trPr>
        <w:tc>
          <w:tcPr>
            <w:tcW w:w="1620" w:type="dxa"/>
            <w:vMerge w:val="restart"/>
            <w:shd w:val="clear" w:color="auto" w:fill="D9D9D9" w:themeFill="background1" w:themeFillShade="D9"/>
            <w:vAlign w:val="center"/>
          </w:tcPr>
          <w:p w14:paraId="304CFD61" w14:textId="77777777" w:rsidR="00A7659D" w:rsidRPr="0033055B" w:rsidRDefault="00A7659D" w:rsidP="00A7659D">
            <w:pPr>
              <w:autoSpaceDE w:val="0"/>
              <w:snapToGrid w:val="0"/>
              <w:spacing w:after="0" w:line="240" w:lineRule="auto"/>
              <w:jc w:val="center"/>
              <w:rPr>
                <w:rFonts w:ascii="Calibri" w:hAnsi="Calibri" w:cs="Calibri"/>
                <w:b/>
              </w:rPr>
            </w:pPr>
            <w:r>
              <w:rPr>
                <w:rFonts w:ascii="Calibri" w:hAnsi="Calibri"/>
                <w:b/>
              </w:rPr>
              <w:t>Sektori i prejardhjes</w:t>
            </w:r>
          </w:p>
        </w:tc>
        <w:tc>
          <w:tcPr>
            <w:tcW w:w="3060" w:type="dxa"/>
            <w:vMerge w:val="restart"/>
            <w:shd w:val="clear" w:color="auto" w:fill="D9D9D9" w:themeFill="background1" w:themeFillShade="D9"/>
            <w:vAlign w:val="center"/>
          </w:tcPr>
          <w:p w14:paraId="14A148C9" w14:textId="77777777" w:rsidR="00A7659D" w:rsidRPr="0033055B" w:rsidRDefault="00A7659D" w:rsidP="00A7659D">
            <w:pPr>
              <w:autoSpaceDE w:val="0"/>
              <w:snapToGrid w:val="0"/>
              <w:spacing w:after="0" w:line="240" w:lineRule="auto"/>
              <w:jc w:val="center"/>
              <w:rPr>
                <w:rFonts w:ascii="Calibri" w:hAnsi="Calibri" w:cs="Calibri"/>
                <w:b/>
                <w:lang w:val="en-GB"/>
              </w:rPr>
            </w:pPr>
          </w:p>
        </w:tc>
        <w:tc>
          <w:tcPr>
            <w:tcW w:w="1080" w:type="dxa"/>
            <w:vMerge w:val="restart"/>
            <w:shd w:val="clear" w:color="auto" w:fill="D9D9D9" w:themeFill="background1" w:themeFillShade="D9"/>
            <w:vAlign w:val="center"/>
          </w:tcPr>
          <w:p w14:paraId="0A71F2A2" w14:textId="77777777" w:rsidR="00A7659D" w:rsidRPr="0033055B" w:rsidRDefault="00A7659D" w:rsidP="00A7659D">
            <w:pPr>
              <w:autoSpaceDE w:val="0"/>
              <w:snapToGrid w:val="0"/>
              <w:spacing w:after="0" w:line="240" w:lineRule="auto"/>
              <w:jc w:val="center"/>
              <w:rPr>
                <w:rFonts w:ascii="Calibri" w:hAnsi="Calibri" w:cs="Calibri"/>
                <w:b/>
              </w:rPr>
            </w:pPr>
            <w:r>
              <w:rPr>
                <w:rFonts w:ascii="Calibri" w:hAnsi="Calibri"/>
                <w:b/>
              </w:rPr>
              <w:t>Sasia e burimit vendor</w:t>
            </w:r>
            <w:r w:rsidR="00EB1E33" w:rsidRPr="00EB1E33">
              <w:rPr>
                <w:rStyle w:val="Smbolodenotaalpie"/>
                <w:rFonts w:ascii="Calibri" w:hAnsi="Calibri" w:cs="Calibri"/>
                <w:b/>
                <w:lang w:val="en-GB"/>
              </w:rPr>
              <w:footnoteReference w:id="20"/>
            </w:r>
          </w:p>
        </w:tc>
        <w:tc>
          <w:tcPr>
            <w:tcW w:w="1304" w:type="dxa"/>
            <w:gridSpan w:val="2"/>
            <w:shd w:val="clear" w:color="auto" w:fill="D9D9D9" w:themeFill="background1" w:themeFillShade="D9"/>
            <w:vAlign w:val="center"/>
          </w:tcPr>
          <w:p w14:paraId="5075D963" w14:textId="77777777" w:rsidR="00A7659D" w:rsidRPr="0033055B" w:rsidRDefault="00A7659D" w:rsidP="00A7659D">
            <w:pPr>
              <w:autoSpaceDE w:val="0"/>
              <w:snapToGrid w:val="0"/>
              <w:spacing w:after="0" w:line="240" w:lineRule="auto"/>
              <w:jc w:val="center"/>
              <w:rPr>
                <w:rFonts w:ascii="Calibri" w:hAnsi="Calibri" w:cs="Calibri"/>
                <w:b/>
              </w:rPr>
            </w:pPr>
            <w:r>
              <w:rPr>
                <w:rFonts w:ascii="Calibri" w:hAnsi="Calibri"/>
                <w:b/>
              </w:rPr>
              <w:t xml:space="preserve">Importuar </w:t>
            </w:r>
          </w:p>
        </w:tc>
        <w:tc>
          <w:tcPr>
            <w:tcW w:w="1092" w:type="dxa"/>
            <w:shd w:val="clear" w:color="auto" w:fill="D9D9D9" w:themeFill="background1" w:themeFillShade="D9"/>
            <w:vAlign w:val="center"/>
          </w:tcPr>
          <w:p w14:paraId="54218F11" w14:textId="77777777" w:rsidR="00A7659D" w:rsidRPr="0033055B" w:rsidRDefault="00A7659D" w:rsidP="00A7659D">
            <w:pPr>
              <w:autoSpaceDE w:val="0"/>
              <w:snapToGrid w:val="0"/>
              <w:spacing w:after="0" w:line="240" w:lineRule="auto"/>
              <w:jc w:val="center"/>
              <w:rPr>
                <w:rFonts w:ascii="Calibri" w:hAnsi="Calibri" w:cs="Calibri"/>
                <w:b/>
              </w:rPr>
            </w:pPr>
            <w:r>
              <w:rPr>
                <w:rFonts w:ascii="Calibri" w:hAnsi="Calibri"/>
                <w:b/>
              </w:rPr>
              <w:t>Eksportuar</w:t>
            </w:r>
          </w:p>
        </w:tc>
        <w:tc>
          <w:tcPr>
            <w:tcW w:w="1080" w:type="dxa"/>
            <w:vMerge w:val="restart"/>
            <w:shd w:val="clear" w:color="auto" w:fill="D9D9D9" w:themeFill="background1" w:themeFillShade="D9"/>
            <w:vAlign w:val="center"/>
          </w:tcPr>
          <w:p w14:paraId="267A72CB" w14:textId="77777777" w:rsidR="00A7659D" w:rsidRPr="0033055B" w:rsidRDefault="00A7659D" w:rsidP="00A7659D">
            <w:pPr>
              <w:autoSpaceDE w:val="0"/>
              <w:snapToGrid w:val="0"/>
              <w:spacing w:after="0" w:line="240" w:lineRule="auto"/>
              <w:jc w:val="center"/>
              <w:rPr>
                <w:rFonts w:ascii="Calibri" w:hAnsi="Calibri" w:cs="Calibri"/>
                <w:b/>
              </w:rPr>
            </w:pPr>
            <w:r>
              <w:rPr>
                <w:rFonts w:ascii="Calibri" w:hAnsi="Calibri"/>
                <w:b/>
              </w:rPr>
              <w:t>Sasia neto</w:t>
            </w:r>
          </w:p>
        </w:tc>
        <w:tc>
          <w:tcPr>
            <w:tcW w:w="1080" w:type="dxa"/>
            <w:vMerge w:val="restart"/>
            <w:shd w:val="clear" w:color="auto" w:fill="D9D9D9" w:themeFill="background1" w:themeFillShade="D9"/>
            <w:vAlign w:val="center"/>
          </w:tcPr>
          <w:p w14:paraId="429293A3" w14:textId="77777777" w:rsidR="00A7659D" w:rsidRPr="0033055B" w:rsidRDefault="00A7659D" w:rsidP="00A7659D">
            <w:pPr>
              <w:autoSpaceDE w:val="0"/>
              <w:snapToGrid w:val="0"/>
              <w:spacing w:after="0" w:line="240" w:lineRule="auto"/>
              <w:jc w:val="center"/>
              <w:rPr>
                <w:rFonts w:ascii="Calibri" w:hAnsi="Calibri" w:cs="Calibri"/>
                <w:b/>
              </w:rPr>
            </w:pPr>
            <w:r>
              <w:rPr>
                <w:rFonts w:ascii="Calibri" w:hAnsi="Calibri"/>
                <w:b/>
              </w:rPr>
              <w:t>Prodhimi primar i energjisë (ktoe)</w:t>
            </w:r>
          </w:p>
        </w:tc>
      </w:tr>
      <w:tr w:rsidR="00A7659D" w:rsidRPr="0033055B" w14:paraId="44B80212" w14:textId="77777777" w:rsidTr="00172498">
        <w:trPr>
          <w:tblHeader/>
        </w:trPr>
        <w:tc>
          <w:tcPr>
            <w:tcW w:w="1620" w:type="dxa"/>
            <w:vMerge/>
            <w:shd w:val="clear" w:color="auto" w:fill="FFFFFF" w:themeFill="background1"/>
            <w:vAlign w:val="center"/>
          </w:tcPr>
          <w:p w14:paraId="28F3DE6F" w14:textId="77777777" w:rsidR="00A7659D" w:rsidRPr="0033055B" w:rsidRDefault="00A7659D" w:rsidP="00A7659D">
            <w:pPr>
              <w:spacing w:after="0" w:line="240" w:lineRule="auto"/>
              <w:rPr>
                <w:rFonts w:ascii="Calibri" w:hAnsi="Calibri" w:cs="Calibri"/>
                <w:lang w:val="en-GB"/>
              </w:rPr>
            </w:pPr>
          </w:p>
        </w:tc>
        <w:tc>
          <w:tcPr>
            <w:tcW w:w="3060" w:type="dxa"/>
            <w:vMerge/>
            <w:shd w:val="clear" w:color="auto" w:fill="FFFFFF" w:themeFill="background1"/>
            <w:vAlign w:val="center"/>
          </w:tcPr>
          <w:p w14:paraId="2EA8FDE6" w14:textId="77777777" w:rsidR="00A7659D" w:rsidRPr="0033055B" w:rsidRDefault="00A7659D" w:rsidP="00A7659D">
            <w:pPr>
              <w:spacing w:after="0" w:line="240" w:lineRule="auto"/>
              <w:rPr>
                <w:rFonts w:ascii="Calibri" w:hAnsi="Calibri" w:cs="Calibri"/>
                <w:lang w:val="en-GB"/>
              </w:rPr>
            </w:pPr>
          </w:p>
        </w:tc>
        <w:tc>
          <w:tcPr>
            <w:tcW w:w="1080" w:type="dxa"/>
            <w:vMerge/>
            <w:shd w:val="clear" w:color="auto" w:fill="FFFFFF" w:themeFill="background1"/>
            <w:vAlign w:val="center"/>
          </w:tcPr>
          <w:p w14:paraId="24213587" w14:textId="77777777" w:rsidR="00A7659D" w:rsidRPr="0033055B" w:rsidRDefault="00A7659D" w:rsidP="00A7659D">
            <w:pPr>
              <w:spacing w:after="0" w:line="240" w:lineRule="auto"/>
              <w:rPr>
                <w:rFonts w:ascii="Calibri" w:hAnsi="Calibri" w:cs="Calibri"/>
                <w:lang w:val="en-GB"/>
              </w:rPr>
            </w:pPr>
          </w:p>
        </w:tc>
        <w:tc>
          <w:tcPr>
            <w:tcW w:w="607" w:type="dxa"/>
            <w:shd w:val="clear" w:color="auto" w:fill="D9D9D9" w:themeFill="background1" w:themeFillShade="D9"/>
            <w:vAlign w:val="center"/>
          </w:tcPr>
          <w:p w14:paraId="290F2EC5" w14:textId="77777777" w:rsidR="00A7659D" w:rsidRPr="0033055B" w:rsidRDefault="00EB1E33" w:rsidP="00A7659D">
            <w:pPr>
              <w:autoSpaceDE w:val="0"/>
              <w:snapToGrid w:val="0"/>
              <w:spacing w:after="0" w:line="240" w:lineRule="auto"/>
              <w:jc w:val="center"/>
              <w:rPr>
                <w:rFonts w:ascii="Calibri" w:hAnsi="Calibri" w:cs="Calibri"/>
                <w:b/>
              </w:rPr>
            </w:pPr>
            <w:r>
              <w:rPr>
                <w:rFonts w:ascii="Calibri" w:hAnsi="Calibri"/>
                <w:b/>
              </w:rPr>
              <w:t>BE</w:t>
            </w:r>
          </w:p>
        </w:tc>
        <w:tc>
          <w:tcPr>
            <w:tcW w:w="697" w:type="dxa"/>
            <w:shd w:val="clear" w:color="auto" w:fill="D9D9D9" w:themeFill="background1" w:themeFillShade="D9"/>
            <w:vAlign w:val="center"/>
          </w:tcPr>
          <w:p w14:paraId="46821448" w14:textId="77777777" w:rsidR="00A7659D" w:rsidRPr="0033055B" w:rsidRDefault="00EB1E33" w:rsidP="00A7659D">
            <w:pPr>
              <w:autoSpaceDE w:val="0"/>
              <w:snapToGrid w:val="0"/>
              <w:spacing w:after="0" w:line="240" w:lineRule="auto"/>
              <w:jc w:val="center"/>
              <w:rPr>
                <w:rFonts w:ascii="Calibri" w:hAnsi="Calibri" w:cs="Calibri"/>
                <w:b/>
              </w:rPr>
            </w:pPr>
            <w:r>
              <w:rPr>
                <w:rFonts w:ascii="Calibri" w:hAnsi="Calibri"/>
                <w:b/>
              </w:rPr>
              <w:t>Jo-BE</w:t>
            </w:r>
          </w:p>
        </w:tc>
        <w:tc>
          <w:tcPr>
            <w:tcW w:w="1092" w:type="dxa"/>
            <w:shd w:val="clear" w:color="auto" w:fill="D9D9D9" w:themeFill="background1" w:themeFillShade="D9"/>
            <w:vAlign w:val="center"/>
          </w:tcPr>
          <w:p w14:paraId="0750EA66" w14:textId="77777777" w:rsidR="00A7659D" w:rsidRPr="0033055B" w:rsidRDefault="00EB1E33" w:rsidP="00A7659D">
            <w:pPr>
              <w:autoSpaceDE w:val="0"/>
              <w:snapToGrid w:val="0"/>
              <w:spacing w:after="0" w:line="240" w:lineRule="auto"/>
              <w:jc w:val="center"/>
              <w:rPr>
                <w:rFonts w:ascii="Calibri" w:hAnsi="Calibri" w:cs="Calibri"/>
              </w:rPr>
            </w:pPr>
            <w:r>
              <w:rPr>
                <w:rFonts w:ascii="Calibri" w:hAnsi="Calibri"/>
                <w:b/>
              </w:rPr>
              <w:t>EU / Jo-BE</w:t>
            </w:r>
          </w:p>
        </w:tc>
        <w:tc>
          <w:tcPr>
            <w:tcW w:w="1080" w:type="dxa"/>
            <w:vMerge/>
            <w:shd w:val="clear" w:color="auto" w:fill="FFFFFF" w:themeFill="background1"/>
            <w:vAlign w:val="center"/>
          </w:tcPr>
          <w:p w14:paraId="463CEF2C" w14:textId="77777777" w:rsidR="00A7659D" w:rsidRPr="0033055B" w:rsidRDefault="00A7659D" w:rsidP="00A7659D">
            <w:pPr>
              <w:spacing w:after="0" w:line="240" w:lineRule="auto"/>
              <w:rPr>
                <w:rFonts w:ascii="Calibri" w:hAnsi="Calibri" w:cs="Calibri"/>
                <w:lang w:val="en-GB"/>
              </w:rPr>
            </w:pPr>
          </w:p>
        </w:tc>
        <w:tc>
          <w:tcPr>
            <w:tcW w:w="1080" w:type="dxa"/>
            <w:vMerge/>
            <w:shd w:val="clear" w:color="auto" w:fill="FFFFFF" w:themeFill="background1"/>
            <w:vAlign w:val="center"/>
          </w:tcPr>
          <w:p w14:paraId="2AB03397" w14:textId="77777777" w:rsidR="00A7659D" w:rsidRPr="0033055B" w:rsidRDefault="00A7659D" w:rsidP="00A7659D">
            <w:pPr>
              <w:spacing w:after="0" w:line="240" w:lineRule="auto"/>
              <w:rPr>
                <w:rFonts w:ascii="Calibri" w:hAnsi="Calibri" w:cs="Calibri"/>
                <w:lang w:val="en-GB"/>
              </w:rPr>
            </w:pPr>
          </w:p>
        </w:tc>
      </w:tr>
      <w:tr w:rsidR="00A7659D" w:rsidRPr="0033055B" w14:paraId="3968AFE0" w14:textId="77777777" w:rsidTr="00172498">
        <w:trPr>
          <w:trHeight w:val="418"/>
        </w:trPr>
        <w:tc>
          <w:tcPr>
            <w:tcW w:w="1620" w:type="dxa"/>
            <w:vMerge w:val="restart"/>
            <w:shd w:val="clear" w:color="auto" w:fill="FFFFFF" w:themeFill="background1"/>
          </w:tcPr>
          <w:p w14:paraId="62343AB0" w14:textId="77777777" w:rsidR="00A7659D" w:rsidRPr="0033055B" w:rsidRDefault="00A7659D" w:rsidP="00A7659D">
            <w:pPr>
              <w:autoSpaceDE w:val="0"/>
              <w:snapToGrid w:val="0"/>
              <w:spacing w:after="0" w:line="240" w:lineRule="auto"/>
              <w:jc w:val="both"/>
              <w:rPr>
                <w:rFonts w:ascii="Calibri" w:hAnsi="Calibri" w:cs="Calibri"/>
                <w:b/>
                <w:lang w:val="en-GB"/>
              </w:rPr>
            </w:pPr>
          </w:p>
          <w:p w14:paraId="08BC5D17" w14:textId="77777777" w:rsidR="00A7659D" w:rsidRPr="0033055B" w:rsidRDefault="00EB1E33" w:rsidP="00A7659D">
            <w:pPr>
              <w:autoSpaceDE w:val="0"/>
              <w:snapToGrid w:val="0"/>
              <w:spacing w:after="0" w:line="240" w:lineRule="auto"/>
              <w:jc w:val="both"/>
              <w:rPr>
                <w:rFonts w:ascii="Calibri" w:hAnsi="Calibri" w:cs="Calibri"/>
                <w:b/>
              </w:rPr>
            </w:pPr>
            <w:r>
              <w:rPr>
                <w:rFonts w:ascii="Calibri" w:hAnsi="Calibri"/>
                <w:b/>
              </w:rPr>
              <w:t>A) Biomasa nga pylltaria</w:t>
            </w:r>
            <w:r w:rsidRPr="00EB1E33">
              <w:rPr>
                <w:rStyle w:val="Smbolodenotaalpie"/>
                <w:rFonts w:ascii="Calibri" w:hAnsi="Calibri" w:cs="Calibri"/>
                <w:b/>
                <w:lang w:val="en-GB"/>
              </w:rPr>
              <w:footnoteReference w:id="21"/>
            </w:r>
            <w:r>
              <w:rPr>
                <w:rFonts w:ascii="Calibri" w:hAnsi="Calibri"/>
                <w:b/>
              </w:rPr>
              <w:t>:</w:t>
            </w:r>
          </w:p>
        </w:tc>
        <w:tc>
          <w:tcPr>
            <w:tcW w:w="3060" w:type="dxa"/>
            <w:shd w:val="clear" w:color="auto" w:fill="FFFFFF" w:themeFill="background1"/>
            <w:vAlign w:val="center"/>
          </w:tcPr>
          <w:p w14:paraId="3D4BE517" w14:textId="77777777" w:rsidR="00A7659D" w:rsidRPr="0033055B" w:rsidRDefault="00EB1E33" w:rsidP="00A7659D">
            <w:pPr>
              <w:autoSpaceDE w:val="0"/>
              <w:snapToGrid w:val="0"/>
              <w:spacing w:after="0" w:line="240" w:lineRule="auto"/>
              <w:jc w:val="both"/>
              <w:rPr>
                <w:rFonts w:ascii="Calibri" w:hAnsi="Calibri" w:cs="Calibri"/>
                <w:i/>
              </w:rPr>
            </w:pPr>
            <w:r>
              <w:rPr>
                <w:rFonts w:ascii="Calibri" w:hAnsi="Calibri"/>
                <w:i/>
              </w:rPr>
              <w:t>Nga të cilat:</w:t>
            </w:r>
          </w:p>
        </w:tc>
        <w:tc>
          <w:tcPr>
            <w:tcW w:w="1080" w:type="dxa"/>
            <w:shd w:val="clear" w:color="auto" w:fill="FFFFFF" w:themeFill="background1"/>
            <w:vAlign w:val="center"/>
          </w:tcPr>
          <w:p w14:paraId="23A083DD" w14:textId="77777777" w:rsidR="00A7659D" w:rsidRPr="0033055B" w:rsidRDefault="00A7659D" w:rsidP="00A7659D">
            <w:pPr>
              <w:autoSpaceDE w:val="0"/>
              <w:snapToGrid w:val="0"/>
              <w:spacing w:after="0" w:line="240" w:lineRule="auto"/>
              <w:jc w:val="center"/>
              <w:rPr>
                <w:rFonts w:ascii="Calibri" w:hAnsi="Calibri" w:cs="Calibri"/>
                <w:lang w:val="en-GB"/>
              </w:rPr>
            </w:pPr>
          </w:p>
        </w:tc>
        <w:tc>
          <w:tcPr>
            <w:tcW w:w="607" w:type="dxa"/>
            <w:shd w:val="clear" w:color="auto" w:fill="FFFFFF" w:themeFill="background1"/>
            <w:vAlign w:val="center"/>
          </w:tcPr>
          <w:p w14:paraId="5FEF8D53" w14:textId="77777777" w:rsidR="00A7659D" w:rsidRPr="0033055B" w:rsidRDefault="00A7659D" w:rsidP="00A7659D">
            <w:pPr>
              <w:autoSpaceDE w:val="0"/>
              <w:snapToGrid w:val="0"/>
              <w:spacing w:after="0" w:line="240" w:lineRule="auto"/>
              <w:jc w:val="both"/>
              <w:rPr>
                <w:rFonts w:ascii="Calibri" w:hAnsi="Calibri" w:cs="Calibri"/>
                <w:lang w:val="en-GB"/>
              </w:rPr>
            </w:pPr>
          </w:p>
        </w:tc>
        <w:tc>
          <w:tcPr>
            <w:tcW w:w="697" w:type="dxa"/>
            <w:shd w:val="clear" w:color="auto" w:fill="FFFFFF" w:themeFill="background1"/>
            <w:vAlign w:val="center"/>
          </w:tcPr>
          <w:p w14:paraId="040D9368" w14:textId="77777777" w:rsidR="00A7659D" w:rsidRPr="0033055B" w:rsidRDefault="00A7659D" w:rsidP="00A7659D">
            <w:pPr>
              <w:autoSpaceDE w:val="0"/>
              <w:snapToGrid w:val="0"/>
              <w:spacing w:after="0" w:line="240" w:lineRule="auto"/>
              <w:jc w:val="both"/>
              <w:rPr>
                <w:rFonts w:ascii="Calibri" w:hAnsi="Calibri" w:cs="Calibri"/>
                <w:lang w:val="en-GB"/>
              </w:rPr>
            </w:pPr>
          </w:p>
        </w:tc>
        <w:tc>
          <w:tcPr>
            <w:tcW w:w="1092" w:type="dxa"/>
            <w:shd w:val="clear" w:color="auto" w:fill="FFFFFF" w:themeFill="background1"/>
            <w:vAlign w:val="center"/>
          </w:tcPr>
          <w:p w14:paraId="17DC9FA0" w14:textId="77777777" w:rsidR="00A7659D" w:rsidRPr="0033055B" w:rsidRDefault="00A7659D" w:rsidP="00A7659D">
            <w:pPr>
              <w:autoSpaceDE w:val="0"/>
              <w:snapToGrid w:val="0"/>
              <w:spacing w:after="0" w:line="240" w:lineRule="auto"/>
              <w:jc w:val="both"/>
              <w:rPr>
                <w:rFonts w:ascii="Calibri" w:hAnsi="Calibri" w:cs="Calibri"/>
                <w:lang w:val="en-GB"/>
              </w:rPr>
            </w:pPr>
          </w:p>
        </w:tc>
        <w:tc>
          <w:tcPr>
            <w:tcW w:w="1080" w:type="dxa"/>
            <w:shd w:val="clear" w:color="auto" w:fill="FFFFFF" w:themeFill="background1"/>
            <w:vAlign w:val="center"/>
          </w:tcPr>
          <w:p w14:paraId="05E4825D" w14:textId="77777777" w:rsidR="00A7659D" w:rsidRPr="0033055B" w:rsidRDefault="00A7659D" w:rsidP="00A7659D">
            <w:pPr>
              <w:autoSpaceDE w:val="0"/>
              <w:snapToGrid w:val="0"/>
              <w:spacing w:after="0" w:line="240" w:lineRule="auto"/>
              <w:jc w:val="center"/>
              <w:rPr>
                <w:rFonts w:ascii="Calibri" w:hAnsi="Calibri" w:cs="Calibri"/>
                <w:lang w:val="en-GB"/>
              </w:rPr>
            </w:pPr>
          </w:p>
        </w:tc>
        <w:tc>
          <w:tcPr>
            <w:tcW w:w="1080" w:type="dxa"/>
            <w:shd w:val="clear" w:color="auto" w:fill="FFFFFF" w:themeFill="background1"/>
            <w:vAlign w:val="center"/>
          </w:tcPr>
          <w:p w14:paraId="2A69D6F8" w14:textId="77777777" w:rsidR="00A7659D" w:rsidRPr="0033055B" w:rsidRDefault="00A7659D" w:rsidP="00A7659D">
            <w:pPr>
              <w:autoSpaceDE w:val="0"/>
              <w:snapToGrid w:val="0"/>
              <w:spacing w:after="0" w:line="240" w:lineRule="auto"/>
              <w:jc w:val="center"/>
              <w:rPr>
                <w:rFonts w:ascii="Calibri" w:hAnsi="Calibri" w:cs="Calibri"/>
                <w:lang w:val="en-GB"/>
              </w:rPr>
            </w:pPr>
          </w:p>
        </w:tc>
      </w:tr>
      <w:tr w:rsidR="00A7659D" w:rsidRPr="0033055B" w14:paraId="2E1B4FCD" w14:textId="77777777" w:rsidTr="00172498">
        <w:trPr>
          <w:trHeight w:val="735"/>
        </w:trPr>
        <w:tc>
          <w:tcPr>
            <w:tcW w:w="1620" w:type="dxa"/>
            <w:vMerge/>
            <w:shd w:val="clear" w:color="auto" w:fill="FFFFFF" w:themeFill="background1"/>
            <w:vAlign w:val="center"/>
          </w:tcPr>
          <w:p w14:paraId="002FFEAB" w14:textId="77777777" w:rsidR="00A7659D" w:rsidRPr="0033055B" w:rsidRDefault="00A7659D" w:rsidP="00A7659D">
            <w:pPr>
              <w:spacing w:after="0" w:line="240" w:lineRule="auto"/>
              <w:rPr>
                <w:rFonts w:ascii="Calibri" w:hAnsi="Calibri" w:cs="Calibri"/>
                <w:lang w:val="en-GB"/>
              </w:rPr>
            </w:pPr>
          </w:p>
        </w:tc>
        <w:tc>
          <w:tcPr>
            <w:tcW w:w="3060" w:type="dxa"/>
            <w:shd w:val="clear" w:color="auto" w:fill="FFFFFF" w:themeFill="background1"/>
            <w:vAlign w:val="center"/>
          </w:tcPr>
          <w:p w14:paraId="4C4994E0" w14:textId="77777777" w:rsidR="00A7659D" w:rsidRPr="0033055B" w:rsidRDefault="00A7659D" w:rsidP="00A7659D">
            <w:pPr>
              <w:autoSpaceDE w:val="0"/>
              <w:spacing w:after="0" w:line="240" w:lineRule="auto"/>
              <w:jc w:val="both"/>
              <w:rPr>
                <w:rFonts w:ascii="Calibri" w:hAnsi="Calibri" w:cs="Calibri"/>
                <w:b/>
                <w:i/>
              </w:rPr>
            </w:pPr>
            <w:r>
              <w:rPr>
                <w:rFonts w:ascii="Calibri" w:hAnsi="Calibri"/>
                <w:b/>
              </w:rPr>
              <w:t>(1) furnizimi direkt i biomasës drusore nga pyjet dhe tokat tjera pyjore për prodhim të energjisë</w:t>
            </w:r>
          </w:p>
        </w:tc>
        <w:tc>
          <w:tcPr>
            <w:tcW w:w="1080" w:type="dxa"/>
            <w:shd w:val="clear" w:color="auto" w:fill="FFFFFF" w:themeFill="background1"/>
            <w:vAlign w:val="center"/>
          </w:tcPr>
          <w:p w14:paraId="3DE13C67" w14:textId="77777777" w:rsidR="00A7659D" w:rsidRPr="0033055B" w:rsidRDefault="00EB1E33" w:rsidP="00A7659D">
            <w:pPr>
              <w:autoSpaceDE w:val="0"/>
              <w:snapToGrid w:val="0"/>
              <w:spacing w:after="0" w:line="240" w:lineRule="auto"/>
              <w:jc w:val="center"/>
              <w:rPr>
                <w:rFonts w:ascii="Calibri" w:hAnsi="Calibri" w:cs="Calibri"/>
              </w:rPr>
            </w:pPr>
            <w:r>
              <w:rPr>
                <w:rFonts w:ascii="Calibri" w:hAnsi="Calibri"/>
              </w:rPr>
              <w:t>295008  (m3 të stivosur)</w:t>
            </w:r>
          </w:p>
        </w:tc>
        <w:tc>
          <w:tcPr>
            <w:tcW w:w="607" w:type="dxa"/>
            <w:shd w:val="clear" w:color="auto" w:fill="FFFFFF" w:themeFill="background1"/>
            <w:vAlign w:val="center"/>
          </w:tcPr>
          <w:p w14:paraId="04D71A48" w14:textId="77777777" w:rsidR="00A7659D" w:rsidRPr="0033055B" w:rsidRDefault="00A7659D" w:rsidP="00A7659D">
            <w:pPr>
              <w:autoSpaceDE w:val="0"/>
              <w:snapToGrid w:val="0"/>
              <w:spacing w:after="0" w:line="240" w:lineRule="auto"/>
              <w:jc w:val="both"/>
              <w:rPr>
                <w:rFonts w:ascii="Calibri" w:hAnsi="Calibri" w:cs="Calibri"/>
                <w:lang w:val="en-GB"/>
              </w:rPr>
            </w:pPr>
          </w:p>
        </w:tc>
        <w:tc>
          <w:tcPr>
            <w:tcW w:w="697" w:type="dxa"/>
            <w:shd w:val="clear" w:color="auto" w:fill="FFFFFF" w:themeFill="background1"/>
            <w:vAlign w:val="center"/>
          </w:tcPr>
          <w:p w14:paraId="4B17EDFC" w14:textId="77777777" w:rsidR="00A7659D" w:rsidRPr="0033055B" w:rsidRDefault="00EB1E33" w:rsidP="00A7659D">
            <w:pPr>
              <w:autoSpaceDE w:val="0"/>
              <w:snapToGrid w:val="0"/>
              <w:spacing w:after="0" w:line="240" w:lineRule="auto"/>
              <w:jc w:val="both"/>
              <w:rPr>
                <w:rFonts w:ascii="Calibri" w:hAnsi="Calibri" w:cs="Calibri"/>
              </w:rPr>
            </w:pPr>
            <w:r>
              <w:rPr>
                <w:rFonts w:ascii="Calibri" w:hAnsi="Calibri"/>
              </w:rPr>
              <w:t>7000  (m3 të stivosur)</w:t>
            </w:r>
          </w:p>
        </w:tc>
        <w:tc>
          <w:tcPr>
            <w:tcW w:w="1092" w:type="dxa"/>
            <w:shd w:val="clear" w:color="auto" w:fill="FFFFFF" w:themeFill="background1"/>
            <w:vAlign w:val="center"/>
          </w:tcPr>
          <w:p w14:paraId="7011AE5E" w14:textId="77777777" w:rsidR="00A7659D" w:rsidRPr="0033055B" w:rsidRDefault="00A7659D" w:rsidP="00A7659D">
            <w:pPr>
              <w:autoSpaceDE w:val="0"/>
              <w:snapToGrid w:val="0"/>
              <w:spacing w:after="0" w:line="240" w:lineRule="auto"/>
              <w:jc w:val="both"/>
              <w:rPr>
                <w:rFonts w:ascii="Calibri" w:hAnsi="Calibri" w:cs="Calibri"/>
                <w:lang w:val="en-GB"/>
              </w:rPr>
            </w:pPr>
          </w:p>
        </w:tc>
        <w:tc>
          <w:tcPr>
            <w:tcW w:w="1080" w:type="dxa"/>
            <w:shd w:val="clear" w:color="auto" w:fill="FFFFFF" w:themeFill="background1"/>
            <w:vAlign w:val="center"/>
          </w:tcPr>
          <w:p w14:paraId="715B3379" w14:textId="77777777" w:rsidR="00963645" w:rsidRPr="0033055B" w:rsidRDefault="00EB1E33" w:rsidP="00963645">
            <w:pPr>
              <w:spacing w:after="0" w:line="240" w:lineRule="auto"/>
              <w:jc w:val="center"/>
              <w:rPr>
                <w:rFonts w:ascii="Calibri" w:hAnsi="Calibri" w:cs="Calibri"/>
              </w:rPr>
            </w:pPr>
            <w:r>
              <w:rPr>
                <w:rFonts w:ascii="Calibri" w:hAnsi="Calibri"/>
              </w:rPr>
              <w:t>302008</w:t>
            </w:r>
          </w:p>
          <w:p w14:paraId="52D29561" w14:textId="77777777" w:rsidR="00A7659D" w:rsidRPr="0033055B" w:rsidRDefault="00EB1E33" w:rsidP="00963645">
            <w:pPr>
              <w:spacing w:after="0" w:line="240" w:lineRule="auto"/>
              <w:jc w:val="center"/>
              <w:rPr>
                <w:rFonts w:ascii="Calibri" w:hAnsi="Calibri" w:cs="Calibri"/>
              </w:rPr>
            </w:pPr>
            <w:r>
              <w:rPr>
                <w:rFonts w:ascii="Calibri" w:hAnsi="Calibri"/>
              </w:rPr>
              <w:t>(m3 të stivosur)</w:t>
            </w:r>
          </w:p>
        </w:tc>
        <w:tc>
          <w:tcPr>
            <w:tcW w:w="1080" w:type="dxa"/>
            <w:shd w:val="clear" w:color="auto" w:fill="FFFFFF" w:themeFill="background1"/>
            <w:vAlign w:val="center"/>
          </w:tcPr>
          <w:p w14:paraId="73B97DC8" w14:textId="77777777" w:rsidR="00A7659D" w:rsidRPr="0033055B" w:rsidRDefault="00EB1E33" w:rsidP="00A7659D">
            <w:pPr>
              <w:spacing w:after="0" w:line="240" w:lineRule="auto"/>
              <w:jc w:val="center"/>
              <w:rPr>
                <w:rFonts w:ascii="Calibri" w:hAnsi="Calibri" w:cs="Calibri"/>
              </w:rPr>
            </w:pPr>
            <w:r>
              <w:rPr>
                <w:rFonts w:ascii="Calibri" w:hAnsi="Calibri"/>
              </w:rPr>
              <w:t>40.1 ktoe</w:t>
            </w:r>
          </w:p>
        </w:tc>
      </w:tr>
      <w:tr w:rsidR="00A7659D" w:rsidRPr="0033055B" w14:paraId="5B8C208B" w14:textId="77777777" w:rsidTr="00172498">
        <w:tc>
          <w:tcPr>
            <w:tcW w:w="1620" w:type="dxa"/>
            <w:vMerge/>
            <w:shd w:val="clear" w:color="auto" w:fill="FFFFFF" w:themeFill="background1"/>
            <w:vAlign w:val="center"/>
          </w:tcPr>
          <w:p w14:paraId="68D145E9" w14:textId="77777777" w:rsidR="00A7659D" w:rsidRPr="0033055B" w:rsidRDefault="00A7659D" w:rsidP="00A7659D">
            <w:pPr>
              <w:spacing w:after="0" w:line="240" w:lineRule="auto"/>
              <w:rPr>
                <w:rFonts w:ascii="Calibri" w:hAnsi="Calibri" w:cs="Calibri"/>
                <w:lang w:val="en-GB"/>
              </w:rPr>
            </w:pPr>
          </w:p>
        </w:tc>
        <w:tc>
          <w:tcPr>
            <w:tcW w:w="3060" w:type="dxa"/>
            <w:shd w:val="clear" w:color="auto" w:fill="FFFFFF" w:themeFill="background1"/>
            <w:vAlign w:val="center"/>
          </w:tcPr>
          <w:p w14:paraId="3F73DEB3" w14:textId="77777777" w:rsidR="00A7659D" w:rsidRPr="0033055B" w:rsidRDefault="00A7659D" w:rsidP="00A7659D">
            <w:pPr>
              <w:pStyle w:val="CM4"/>
              <w:rPr>
                <w:rFonts w:ascii="Calibri" w:hAnsi="Calibri" w:cs="Calibri"/>
                <w:i/>
                <w:iCs/>
                <w:sz w:val="22"/>
                <w:szCs w:val="22"/>
              </w:rPr>
            </w:pPr>
            <w:r>
              <w:rPr>
                <w:rFonts w:ascii="Calibri" w:hAnsi="Calibri"/>
                <w:i/>
                <w:iCs/>
                <w:sz w:val="22"/>
                <w:szCs w:val="22"/>
              </w:rPr>
              <w:t>Opsionale - nëse ka informata, mund të jepen më shumë detaje mbi sasinë e masës në këtë kategori:</w:t>
            </w:r>
          </w:p>
          <w:p w14:paraId="5B3357CF" w14:textId="77777777" w:rsidR="00A7659D" w:rsidRPr="0033055B" w:rsidRDefault="00A7659D" w:rsidP="00A7659D">
            <w:pPr>
              <w:pStyle w:val="CM4"/>
              <w:numPr>
                <w:ilvl w:val="0"/>
                <w:numId w:val="1"/>
              </w:numPr>
              <w:rPr>
                <w:rFonts w:ascii="Calibri" w:hAnsi="Calibri" w:cs="Calibri"/>
                <w:sz w:val="22"/>
                <w:szCs w:val="22"/>
              </w:rPr>
            </w:pPr>
            <w:r>
              <w:rPr>
                <w:rFonts w:ascii="Calibri" w:hAnsi="Calibri"/>
                <w:sz w:val="22"/>
                <w:szCs w:val="22"/>
              </w:rPr>
              <w:t xml:space="preserve">Prerjet  </w:t>
            </w:r>
          </w:p>
          <w:p w14:paraId="5BBC97C9" w14:textId="77777777" w:rsidR="00A7659D" w:rsidRPr="0033055B" w:rsidRDefault="00A7659D" w:rsidP="00A7659D">
            <w:pPr>
              <w:pStyle w:val="CM4"/>
              <w:numPr>
                <w:ilvl w:val="0"/>
                <w:numId w:val="1"/>
              </w:numPr>
              <w:rPr>
                <w:rFonts w:ascii="Calibri" w:hAnsi="Calibri" w:cs="Calibri"/>
                <w:sz w:val="22"/>
                <w:szCs w:val="22"/>
              </w:rPr>
            </w:pPr>
            <w:r>
              <w:rPr>
                <w:rFonts w:ascii="Calibri" w:hAnsi="Calibri"/>
                <w:sz w:val="22"/>
                <w:szCs w:val="22"/>
              </w:rPr>
              <w:t xml:space="preserve">Mbetjet nga prerjet (majat, degët, lëvore, cungje) </w:t>
            </w:r>
          </w:p>
          <w:p w14:paraId="6D17CFF6" w14:textId="77777777" w:rsidR="00A7659D" w:rsidRPr="0033055B" w:rsidRDefault="00A7659D" w:rsidP="00A7659D">
            <w:pPr>
              <w:pStyle w:val="CM4"/>
              <w:numPr>
                <w:ilvl w:val="0"/>
                <w:numId w:val="1"/>
              </w:numPr>
              <w:rPr>
                <w:rFonts w:ascii="Calibri" w:hAnsi="Calibri" w:cs="Calibri"/>
                <w:sz w:val="22"/>
                <w:szCs w:val="22"/>
              </w:rPr>
            </w:pPr>
            <w:r>
              <w:rPr>
                <w:rFonts w:ascii="Calibri" w:hAnsi="Calibri"/>
                <w:sz w:val="22"/>
                <w:szCs w:val="22"/>
              </w:rPr>
              <w:t xml:space="preserve">Mbetjet nga menaxhimi i peizazhit (biomasa drusore nga parqet, kopshtet, rreshtat e trungjeve, shkurret) </w:t>
            </w:r>
          </w:p>
          <w:p w14:paraId="4591F752" w14:textId="77777777" w:rsidR="00A7659D" w:rsidRPr="0033055B" w:rsidRDefault="00A7659D" w:rsidP="00A7659D">
            <w:pPr>
              <w:pStyle w:val="CM4"/>
              <w:numPr>
                <w:ilvl w:val="0"/>
                <w:numId w:val="1"/>
              </w:numPr>
              <w:rPr>
                <w:rFonts w:ascii="Calibri" w:hAnsi="Calibri" w:cs="Calibri"/>
                <w:sz w:val="22"/>
                <w:szCs w:val="22"/>
              </w:rPr>
            </w:pPr>
            <w:r>
              <w:rPr>
                <w:rFonts w:ascii="Calibri" w:hAnsi="Calibri"/>
                <w:sz w:val="22"/>
                <w:szCs w:val="22"/>
              </w:rPr>
              <w:t xml:space="preserve">Të tjera (defino) </w:t>
            </w:r>
          </w:p>
          <w:p w14:paraId="0BC9CE72" w14:textId="77777777" w:rsidR="00A7659D" w:rsidRPr="0033055B" w:rsidRDefault="00A7659D" w:rsidP="00A7659D">
            <w:pPr>
              <w:autoSpaceDE w:val="0"/>
              <w:spacing w:after="0" w:line="240" w:lineRule="auto"/>
              <w:ind w:left="720"/>
              <w:jc w:val="both"/>
              <w:rPr>
                <w:rFonts w:ascii="Calibri" w:hAnsi="Calibri" w:cs="Calibri"/>
                <w:i/>
                <w:lang w:val="en-GB"/>
              </w:rPr>
            </w:pPr>
          </w:p>
        </w:tc>
        <w:tc>
          <w:tcPr>
            <w:tcW w:w="1080" w:type="dxa"/>
            <w:shd w:val="clear" w:color="auto" w:fill="FFFFFF" w:themeFill="background1"/>
            <w:vAlign w:val="center"/>
          </w:tcPr>
          <w:p w14:paraId="5801B418" w14:textId="77777777" w:rsidR="00963645" w:rsidRPr="0033055B" w:rsidRDefault="00EB1E33" w:rsidP="00963645">
            <w:pPr>
              <w:tabs>
                <w:tab w:val="left" w:pos="240"/>
              </w:tabs>
              <w:autoSpaceDE w:val="0"/>
              <w:snapToGrid w:val="0"/>
              <w:spacing w:after="0" w:line="240" w:lineRule="auto"/>
              <w:ind w:left="-54"/>
              <w:jc w:val="both"/>
              <w:rPr>
                <w:rFonts w:ascii="Calibri" w:hAnsi="Calibri" w:cs="Calibri"/>
              </w:rPr>
            </w:pPr>
            <w:r>
              <w:rPr>
                <w:rFonts w:ascii="Calibri" w:hAnsi="Calibri"/>
              </w:rPr>
              <w:t>242568 (m3 s.)</w:t>
            </w:r>
          </w:p>
          <w:p w14:paraId="5466DDE6" w14:textId="77777777" w:rsidR="00963645" w:rsidRPr="0033055B" w:rsidRDefault="00EB1E33" w:rsidP="00963645">
            <w:pPr>
              <w:tabs>
                <w:tab w:val="left" w:pos="240"/>
              </w:tabs>
              <w:autoSpaceDE w:val="0"/>
              <w:snapToGrid w:val="0"/>
              <w:spacing w:after="0" w:line="240" w:lineRule="auto"/>
              <w:ind w:left="-54"/>
              <w:jc w:val="both"/>
              <w:rPr>
                <w:rFonts w:ascii="Calibri" w:hAnsi="Calibri" w:cs="Calibri"/>
              </w:rPr>
            </w:pPr>
            <w:r>
              <w:rPr>
                <w:rFonts w:ascii="Calibri" w:hAnsi="Calibri"/>
              </w:rPr>
              <w:t>26220 (m3 s.)</w:t>
            </w:r>
          </w:p>
          <w:p w14:paraId="095BB0F3" w14:textId="77777777" w:rsidR="00A7659D" w:rsidRPr="0033055B" w:rsidRDefault="00EB1E33" w:rsidP="00963645">
            <w:pPr>
              <w:tabs>
                <w:tab w:val="left" w:pos="240"/>
              </w:tabs>
              <w:autoSpaceDE w:val="0"/>
              <w:snapToGrid w:val="0"/>
              <w:spacing w:after="0" w:line="240" w:lineRule="auto"/>
              <w:ind w:left="-54"/>
              <w:jc w:val="both"/>
              <w:rPr>
                <w:rFonts w:ascii="Calibri" w:hAnsi="Calibri" w:cs="Calibri"/>
              </w:rPr>
            </w:pPr>
            <w:r>
              <w:rPr>
                <w:rFonts w:ascii="Calibri" w:hAnsi="Calibri"/>
              </w:rPr>
              <w:t>26220 (m3 s.)</w:t>
            </w:r>
          </w:p>
        </w:tc>
        <w:tc>
          <w:tcPr>
            <w:tcW w:w="607" w:type="dxa"/>
            <w:shd w:val="clear" w:color="auto" w:fill="FFFFFF" w:themeFill="background1"/>
            <w:vAlign w:val="center"/>
          </w:tcPr>
          <w:p w14:paraId="1DA01F70" w14:textId="77777777" w:rsidR="00A7659D" w:rsidRPr="0033055B" w:rsidRDefault="00A7659D" w:rsidP="00A7659D">
            <w:pPr>
              <w:autoSpaceDE w:val="0"/>
              <w:snapToGrid w:val="0"/>
              <w:spacing w:after="0" w:line="240" w:lineRule="auto"/>
              <w:jc w:val="both"/>
              <w:rPr>
                <w:rFonts w:ascii="Calibri" w:hAnsi="Calibri" w:cs="Calibri"/>
                <w:lang w:val="en-GB"/>
              </w:rPr>
            </w:pPr>
          </w:p>
        </w:tc>
        <w:tc>
          <w:tcPr>
            <w:tcW w:w="697" w:type="dxa"/>
            <w:shd w:val="clear" w:color="auto" w:fill="FFFFFF" w:themeFill="background1"/>
            <w:vAlign w:val="center"/>
          </w:tcPr>
          <w:p w14:paraId="22E2D844" w14:textId="77777777" w:rsidR="00A7659D" w:rsidRPr="0033055B" w:rsidRDefault="00A7659D" w:rsidP="00A7659D">
            <w:pPr>
              <w:autoSpaceDE w:val="0"/>
              <w:snapToGrid w:val="0"/>
              <w:spacing w:after="0" w:line="240" w:lineRule="auto"/>
              <w:jc w:val="both"/>
              <w:rPr>
                <w:rFonts w:ascii="Calibri" w:hAnsi="Calibri" w:cs="Calibri"/>
                <w:lang w:val="en-GB"/>
              </w:rPr>
            </w:pPr>
          </w:p>
        </w:tc>
        <w:tc>
          <w:tcPr>
            <w:tcW w:w="1092" w:type="dxa"/>
            <w:shd w:val="clear" w:color="auto" w:fill="FFFFFF" w:themeFill="background1"/>
            <w:vAlign w:val="center"/>
          </w:tcPr>
          <w:p w14:paraId="738F749A" w14:textId="77777777" w:rsidR="00A7659D" w:rsidRPr="0033055B" w:rsidRDefault="00A7659D" w:rsidP="00A7659D">
            <w:pPr>
              <w:autoSpaceDE w:val="0"/>
              <w:snapToGrid w:val="0"/>
              <w:spacing w:after="0" w:line="240" w:lineRule="auto"/>
              <w:jc w:val="both"/>
              <w:rPr>
                <w:rFonts w:ascii="Calibri" w:hAnsi="Calibri" w:cs="Calibri"/>
                <w:lang w:val="en-GB"/>
              </w:rPr>
            </w:pPr>
          </w:p>
        </w:tc>
        <w:tc>
          <w:tcPr>
            <w:tcW w:w="1080" w:type="dxa"/>
            <w:shd w:val="clear" w:color="auto" w:fill="FFFFFF" w:themeFill="background1"/>
            <w:vAlign w:val="center"/>
          </w:tcPr>
          <w:p w14:paraId="61793839" w14:textId="77777777" w:rsidR="00A7659D" w:rsidRPr="0033055B" w:rsidRDefault="00A7659D" w:rsidP="00A7659D">
            <w:pPr>
              <w:autoSpaceDE w:val="0"/>
              <w:snapToGrid w:val="0"/>
              <w:spacing w:after="0" w:line="240" w:lineRule="auto"/>
              <w:jc w:val="both"/>
              <w:rPr>
                <w:rFonts w:ascii="Calibri" w:hAnsi="Calibri" w:cs="Calibri"/>
                <w:lang w:val="en-GB"/>
              </w:rPr>
            </w:pPr>
          </w:p>
        </w:tc>
        <w:tc>
          <w:tcPr>
            <w:tcW w:w="1080" w:type="dxa"/>
            <w:shd w:val="clear" w:color="auto" w:fill="FFFFFF" w:themeFill="background1"/>
            <w:vAlign w:val="center"/>
          </w:tcPr>
          <w:p w14:paraId="026EBB5A" w14:textId="77777777" w:rsidR="00963645" w:rsidRPr="0033055B" w:rsidRDefault="00EB1E33" w:rsidP="00963645">
            <w:pPr>
              <w:autoSpaceDE w:val="0"/>
              <w:snapToGrid w:val="0"/>
              <w:spacing w:after="0" w:line="240" w:lineRule="auto"/>
              <w:jc w:val="both"/>
              <w:rPr>
                <w:rFonts w:ascii="Calibri" w:hAnsi="Calibri" w:cs="Calibri"/>
              </w:rPr>
            </w:pPr>
            <w:r>
              <w:rPr>
                <w:rFonts w:ascii="Calibri" w:hAnsi="Calibri"/>
              </w:rPr>
              <w:t>35.6 ktoe</w:t>
            </w:r>
          </w:p>
          <w:p w14:paraId="6D161A99" w14:textId="77777777" w:rsidR="00963645" w:rsidRPr="0033055B" w:rsidRDefault="00963645" w:rsidP="00963645">
            <w:pPr>
              <w:autoSpaceDE w:val="0"/>
              <w:snapToGrid w:val="0"/>
              <w:spacing w:after="0" w:line="240" w:lineRule="auto"/>
              <w:jc w:val="both"/>
              <w:rPr>
                <w:rFonts w:ascii="Calibri" w:hAnsi="Calibri" w:cs="Calibri"/>
                <w:lang w:val="en-GB"/>
              </w:rPr>
            </w:pPr>
          </w:p>
          <w:p w14:paraId="0407548D" w14:textId="77777777" w:rsidR="00963645" w:rsidRPr="0033055B" w:rsidRDefault="00EB1E33" w:rsidP="00963645">
            <w:pPr>
              <w:autoSpaceDE w:val="0"/>
              <w:snapToGrid w:val="0"/>
              <w:spacing w:after="0" w:line="240" w:lineRule="auto"/>
              <w:jc w:val="both"/>
              <w:rPr>
                <w:rFonts w:ascii="Calibri" w:hAnsi="Calibri" w:cs="Calibri"/>
              </w:rPr>
            </w:pPr>
            <w:r>
              <w:rPr>
                <w:rFonts w:ascii="Calibri" w:hAnsi="Calibri"/>
              </w:rPr>
              <w:t>2.25 ktoe</w:t>
            </w:r>
          </w:p>
          <w:p w14:paraId="28435E18" w14:textId="77777777" w:rsidR="00963645" w:rsidRPr="0033055B" w:rsidRDefault="00963645" w:rsidP="00963645">
            <w:pPr>
              <w:autoSpaceDE w:val="0"/>
              <w:snapToGrid w:val="0"/>
              <w:spacing w:after="0" w:line="240" w:lineRule="auto"/>
              <w:jc w:val="both"/>
              <w:rPr>
                <w:rFonts w:ascii="Calibri" w:hAnsi="Calibri" w:cs="Calibri"/>
                <w:lang w:val="en-GB"/>
              </w:rPr>
            </w:pPr>
          </w:p>
          <w:p w14:paraId="3B7D9363" w14:textId="77777777" w:rsidR="00A7659D" w:rsidRPr="0033055B" w:rsidRDefault="00EB1E33" w:rsidP="00963645">
            <w:pPr>
              <w:autoSpaceDE w:val="0"/>
              <w:snapToGrid w:val="0"/>
              <w:spacing w:after="0" w:line="240" w:lineRule="auto"/>
              <w:jc w:val="both"/>
              <w:rPr>
                <w:rFonts w:ascii="Calibri" w:hAnsi="Calibri" w:cs="Calibri"/>
              </w:rPr>
            </w:pPr>
            <w:r>
              <w:rPr>
                <w:rFonts w:ascii="Calibri" w:hAnsi="Calibri"/>
              </w:rPr>
              <w:t>2.25 ktoe</w:t>
            </w:r>
          </w:p>
        </w:tc>
      </w:tr>
      <w:tr w:rsidR="00A7659D" w:rsidRPr="0033055B" w14:paraId="380D5CCF" w14:textId="77777777" w:rsidTr="00172498">
        <w:trPr>
          <w:trHeight w:val="661"/>
        </w:trPr>
        <w:tc>
          <w:tcPr>
            <w:tcW w:w="1620" w:type="dxa"/>
            <w:vMerge/>
            <w:shd w:val="clear" w:color="auto" w:fill="FFFFFF" w:themeFill="background1"/>
            <w:vAlign w:val="center"/>
          </w:tcPr>
          <w:p w14:paraId="29C95DB2" w14:textId="77777777" w:rsidR="00A7659D" w:rsidRPr="0033055B" w:rsidRDefault="00A7659D" w:rsidP="00A7659D">
            <w:pPr>
              <w:spacing w:after="0" w:line="240" w:lineRule="auto"/>
              <w:rPr>
                <w:rFonts w:ascii="Calibri" w:hAnsi="Calibri" w:cs="Calibri"/>
                <w:lang w:val="en-GB"/>
              </w:rPr>
            </w:pPr>
          </w:p>
        </w:tc>
        <w:tc>
          <w:tcPr>
            <w:tcW w:w="3060" w:type="dxa"/>
            <w:shd w:val="clear" w:color="auto" w:fill="FFFFFF" w:themeFill="background1"/>
            <w:vAlign w:val="center"/>
          </w:tcPr>
          <w:p w14:paraId="2D1C5067" w14:textId="77777777" w:rsidR="00A7659D" w:rsidRPr="0033055B" w:rsidRDefault="00A7659D" w:rsidP="00A7659D">
            <w:pPr>
              <w:autoSpaceDE w:val="0"/>
              <w:spacing w:after="0" w:line="240" w:lineRule="auto"/>
              <w:jc w:val="both"/>
              <w:rPr>
                <w:rFonts w:ascii="Calibri" w:hAnsi="Calibri" w:cs="Calibri"/>
                <w:b/>
                <w:i/>
              </w:rPr>
            </w:pPr>
            <w:r>
              <w:rPr>
                <w:rFonts w:ascii="Calibri" w:hAnsi="Calibri"/>
                <w:b/>
              </w:rPr>
              <w:t xml:space="preserve">(2) furnizimi indirekt i biomasës drusore nga pyjet dhe tokat tjera pyjore për prodhim të energjisë  </w:t>
            </w:r>
          </w:p>
        </w:tc>
        <w:tc>
          <w:tcPr>
            <w:tcW w:w="1080" w:type="dxa"/>
            <w:shd w:val="clear" w:color="auto" w:fill="FFFFFF" w:themeFill="background1"/>
            <w:vAlign w:val="center"/>
          </w:tcPr>
          <w:p w14:paraId="324557FC" w14:textId="77777777" w:rsidR="00A7659D" w:rsidRPr="0033055B" w:rsidRDefault="00A7659D" w:rsidP="00A7659D">
            <w:pPr>
              <w:autoSpaceDE w:val="0"/>
              <w:snapToGrid w:val="0"/>
              <w:spacing w:after="0" w:line="240" w:lineRule="auto"/>
              <w:jc w:val="both"/>
              <w:rPr>
                <w:rFonts w:ascii="Calibri" w:hAnsi="Calibri" w:cs="Calibri"/>
                <w:lang w:val="en-GB"/>
              </w:rPr>
            </w:pPr>
          </w:p>
        </w:tc>
        <w:tc>
          <w:tcPr>
            <w:tcW w:w="607" w:type="dxa"/>
            <w:shd w:val="clear" w:color="auto" w:fill="FFFFFF" w:themeFill="background1"/>
            <w:vAlign w:val="center"/>
          </w:tcPr>
          <w:p w14:paraId="294D2CD9" w14:textId="77777777" w:rsidR="00A7659D" w:rsidRPr="0033055B" w:rsidRDefault="00A7659D" w:rsidP="00A7659D">
            <w:pPr>
              <w:autoSpaceDE w:val="0"/>
              <w:snapToGrid w:val="0"/>
              <w:spacing w:after="0" w:line="240" w:lineRule="auto"/>
              <w:jc w:val="both"/>
              <w:rPr>
                <w:rFonts w:ascii="Calibri" w:hAnsi="Calibri" w:cs="Calibri"/>
                <w:lang w:val="en-GB"/>
              </w:rPr>
            </w:pPr>
          </w:p>
        </w:tc>
        <w:tc>
          <w:tcPr>
            <w:tcW w:w="697" w:type="dxa"/>
            <w:shd w:val="clear" w:color="auto" w:fill="FFFFFF" w:themeFill="background1"/>
            <w:vAlign w:val="center"/>
          </w:tcPr>
          <w:p w14:paraId="10BE538E" w14:textId="77777777" w:rsidR="00A7659D" w:rsidRPr="0033055B" w:rsidRDefault="00A7659D" w:rsidP="00A7659D">
            <w:pPr>
              <w:autoSpaceDE w:val="0"/>
              <w:snapToGrid w:val="0"/>
              <w:spacing w:after="0" w:line="240" w:lineRule="auto"/>
              <w:jc w:val="both"/>
              <w:rPr>
                <w:rFonts w:ascii="Calibri" w:hAnsi="Calibri" w:cs="Calibri"/>
                <w:lang w:val="en-GB"/>
              </w:rPr>
            </w:pPr>
          </w:p>
        </w:tc>
        <w:tc>
          <w:tcPr>
            <w:tcW w:w="1092" w:type="dxa"/>
            <w:shd w:val="clear" w:color="auto" w:fill="FFFFFF" w:themeFill="background1"/>
            <w:vAlign w:val="center"/>
          </w:tcPr>
          <w:p w14:paraId="70983671" w14:textId="77777777" w:rsidR="00A7659D" w:rsidRPr="0033055B" w:rsidRDefault="00A7659D" w:rsidP="00A7659D">
            <w:pPr>
              <w:autoSpaceDE w:val="0"/>
              <w:snapToGrid w:val="0"/>
              <w:spacing w:after="0" w:line="240" w:lineRule="auto"/>
              <w:jc w:val="both"/>
              <w:rPr>
                <w:rFonts w:ascii="Calibri" w:hAnsi="Calibri" w:cs="Calibri"/>
                <w:lang w:val="en-GB"/>
              </w:rPr>
            </w:pPr>
          </w:p>
        </w:tc>
        <w:tc>
          <w:tcPr>
            <w:tcW w:w="1080" w:type="dxa"/>
            <w:shd w:val="clear" w:color="auto" w:fill="FFFFFF" w:themeFill="background1"/>
            <w:vAlign w:val="center"/>
          </w:tcPr>
          <w:p w14:paraId="1A6D6E4F" w14:textId="77777777" w:rsidR="00A7659D" w:rsidRPr="0033055B" w:rsidRDefault="00A7659D" w:rsidP="00A7659D">
            <w:pPr>
              <w:autoSpaceDE w:val="0"/>
              <w:snapToGrid w:val="0"/>
              <w:spacing w:after="0" w:line="240" w:lineRule="auto"/>
              <w:jc w:val="both"/>
              <w:rPr>
                <w:rFonts w:ascii="Calibri" w:hAnsi="Calibri" w:cs="Calibri"/>
                <w:lang w:val="en-GB"/>
              </w:rPr>
            </w:pPr>
          </w:p>
        </w:tc>
        <w:tc>
          <w:tcPr>
            <w:tcW w:w="1080" w:type="dxa"/>
            <w:shd w:val="clear" w:color="auto" w:fill="FFFFFF" w:themeFill="background1"/>
            <w:vAlign w:val="center"/>
          </w:tcPr>
          <w:p w14:paraId="732D9DD8" w14:textId="77777777" w:rsidR="00A7659D" w:rsidRPr="0033055B" w:rsidRDefault="00A7659D" w:rsidP="00A7659D">
            <w:pPr>
              <w:autoSpaceDE w:val="0"/>
              <w:snapToGrid w:val="0"/>
              <w:spacing w:after="0" w:line="240" w:lineRule="auto"/>
              <w:jc w:val="both"/>
              <w:rPr>
                <w:rFonts w:ascii="Calibri" w:hAnsi="Calibri" w:cs="Calibri"/>
                <w:lang w:val="en-GB"/>
              </w:rPr>
            </w:pPr>
          </w:p>
        </w:tc>
      </w:tr>
      <w:tr w:rsidR="00A7659D" w:rsidRPr="0033055B" w14:paraId="458CE19F" w14:textId="77777777" w:rsidTr="00172498">
        <w:trPr>
          <w:trHeight w:val="2491"/>
        </w:trPr>
        <w:tc>
          <w:tcPr>
            <w:tcW w:w="1620" w:type="dxa"/>
            <w:vMerge/>
            <w:shd w:val="clear" w:color="auto" w:fill="FFFFFF" w:themeFill="background1"/>
            <w:vAlign w:val="center"/>
          </w:tcPr>
          <w:p w14:paraId="73AE360E" w14:textId="77777777" w:rsidR="00A7659D" w:rsidRPr="0033055B" w:rsidRDefault="00A7659D" w:rsidP="00A7659D">
            <w:pPr>
              <w:spacing w:after="0" w:line="240" w:lineRule="auto"/>
              <w:rPr>
                <w:rFonts w:ascii="Calibri" w:hAnsi="Calibri" w:cs="Calibri"/>
                <w:lang w:val="en-GB"/>
              </w:rPr>
            </w:pPr>
          </w:p>
        </w:tc>
        <w:tc>
          <w:tcPr>
            <w:tcW w:w="3060" w:type="dxa"/>
            <w:shd w:val="clear" w:color="auto" w:fill="FFFFFF" w:themeFill="background1"/>
            <w:vAlign w:val="center"/>
          </w:tcPr>
          <w:p w14:paraId="7D5CB483" w14:textId="77777777" w:rsidR="00A7659D" w:rsidRPr="0033055B" w:rsidRDefault="00A7659D" w:rsidP="00A7659D">
            <w:pPr>
              <w:autoSpaceDE w:val="0"/>
              <w:spacing w:after="0" w:line="240" w:lineRule="auto"/>
              <w:jc w:val="both"/>
              <w:rPr>
                <w:rFonts w:ascii="Calibri" w:hAnsi="Calibri" w:cs="Calibri"/>
                <w:i/>
                <w:iCs/>
              </w:rPr>
            </w:pPr>
            <w:r>
              <w:rPr>
                <w:rFonts w:ascii="Calibri" w:hAnsi="Calibri"/>
                <w:i/>
                <w:iCs/>
              </w:rPr>
              <w:t xml:space="preserve">Opsionale - nëse ka informata, mund të jepen më shumë detaje  </w:t>
            </w:r>
          </w:p>
          <w:p w14:paraId="6886087D" w14:textId="77777777" w:rsidR="00A7659D" w:rsidRPr="0033055B" w:rsidRDefault="00A7659D" w:rsidP="00A7659D">
            <w:pPr>
              <w:pStyle w:val="CM4"/>
              <w:numPr>
                <w:ilvl w:val="0"/>
                <w:numId w:val="2"/>
              </w:numPr>
              <w:rPr>
                <w:rFonts w:ascii="Calibri" w:hAnsi="Calibri" w:cs="Calibri"/>
                <w:sz w:val="22"/>
                <w:szCs w:val="22"/>
              </w:rPr>
            </w:pPr>
            <w:r>
              <w:rPr>
                <w:rFonts w:ascii="Calibri" w:hAnsi="Calibri"/>
                <w:sz w:val="22"/>
                <w:szCs w:val="22"/>
              </w:rPr>
              <w:t>Mbetjet nga sharra, puna me dru, industria e mobileve (lëvore, tallash)</w:t>
            </w:r>
          </w:p>
          <w:p w14:paraId="790089D5" w14:textId="77777777" w:rsidR="00A7659D" w:rsidRPr="0033055B" w:rsidRDefault="00A7659D" w:rsidP="00A7659D">
            <w:pPr>
              <w:pStyle w:val="CM4"/>
              <w:numPr>
                <w:ilvl w:val="0"/>
                <w:numId w:val="2"/>
              </w:numPr>
              <w:rPr>
                <w:rFonts w:ascii="Calibri" w:hAnsi="Calibri" w:cs="Calibri"/>
                <w:sz w:val="22"/>
                <w:szCs w:val="22"/>
              </w:rPr>
            </w:pPr>
            <w:r>
              <w:rPr>
                <w:rFonts w:ascii="Calibri" w:hAnsi="Calibri"/>
                <w:sz w:val="22"/>
                <w:szCs w:val="22"/>
              </w:rPr>
              <w:t xml:space="preserve">Nus-produktet e pulpës dhe industria e letrës (lëngu i zi, vaji) </w:t>
            </w:r>
          </w:p>
          <w:p w14:paraId="24B4BC32" w14:textId="77777777" w:rsidR="00A7659D" w:rsidRPr="0033055B" w:rsidRDefault="00A7659D" w:rsidP="00A7659D">
            <w:pPr>
              <w:pStyle w:val="CM4"/>
              <w:numPr>
                <w:ilvl w:val="0"/>
                <w:numId w:val="2"/>
              </w:numPr>
              <w:rPr>
                <w:rFonts w:ascii="Calibri" w:hAnsi="Calibri" w:cs="Calibri"/>
                <w:sz w:val="22"/>
                <w:szCs w:val="22"/>
              </w:rPr>
            </w:pPr>
            <w:r>
              <w:rPr>
                <w:rFonts w:ascii="Calibri" w:hAnsi="Calibri"/>
                <w:sz w:val="22"/>
                <w:szCs w:val="22"/>
              </w:rPr>
              <w:t>Karburanti nga druri i përpunuar</w:t>
            </w:r>
          </w:p>
          <w:p w14:paraId="44A4A1E8" w14:textId="77777777" w:rsidR="00A7659D" w:rsidRPr="0033055B" w:rsidRDefault="00A7659D" w:rsidP="00A7659D">
            <w:pPr>
              <w:pStyle w:val="CM4"/>
              <w:numPr>
                <w:ilvl w:val="0"/>
                <w:numId w:val="2"/>
              </w:numPr>
              <w:rPr>
                <w:rFonts w:ascii="Calibri" w:hAnsi="Calibri" w:cs="Calibri"/>
                <w:sz w:val="22"/>
                <w:szCs w:val="22"/>
              </w:rPr>
            </w:pPr>
            <w:r>
              <w:rPr>
                <w:rFonts w:ascii="Calibri" w:hAnsi="Calibri"/>
                <w:sz w:val="22"/>
                <w:szCs w:val="22"/>
              </w:rPr>
              <w:t xml:space="preserve">Druri i ricikluar pas konsumatorit (druri i ricikluar për gjenerim të energjisë, mbetje drusore amvisnore) </w:t>
            </w:r>
          </w:p>
          <w:p w14:paraId="7AE40FA7" w14:textId="77777777" w:rsidR="00A7659D" w:rsidRPr="0033055B" w:rsidRDefault="00A7659D" w:rsidP="00A7659D">
            <w:pPr>
              <w:pStyle w:val="CM4"/>
              <w:numPr>
                <w:ilvl w:val="0"/>
                <w:numId w:val="2"/>
              </w:numPr>
              <w:rPr>
                <w:rFonts w:ascii="Calibri" w:hAnsi="Calibri" w:cs="Calibri"/>
                <w:i/>
                <w:sz w:val="22"/>
                <w:szCs w:val="22"/>
              </w:rPr>
            </w:pPr>
            <w:r>
              <w:rPr>
                <w:rFonts w:ascii="Calibri" w:hAnsi="Calibri"/>
                <w:sz w:val="22"/>
                <w:szCs w:val="22"/>
              </w:rPr>
              <w:t xml:space="preserve"> Të tjera (defino)</w:t>
            </w:r>
          </w:p>
        </w:tc>
        <w:tc>
          <w:tcPr>
            <w:tcW w:w="1080" w:type="dxa"/>
            <w:shd w:val="clear" w:color="auto" w:fill="FFFFFF" w:themeFill="background1"/>
            <w:vAlign w:val="center"/>
          </w:tcPr>
          <w:p w14:paraId="1A3979B9" w14:textId="77777777" w:rsidR="00A7659D" w:rsidRPr="0033055B" w:rsidRDefault="00A7659D" w:rsidP="00A7659D">
            <w:pPr>
              <w:autoSpaceDE w:val="0"/>
              <w:snapToGrid w:val="0"/>
              <w:spacing w:after="0" w:line="240" w:lineRule="auto"/>
              <w:jc w:val="both"/>
              <w:rPr>
                <w:rFonts w:ascii="Calibri" w:hAnsi="Calibri" w:cs="Calibri"/>
                <w:lang w:val="en-GB"/>
              </w:rPr>
            </w:pPr>
          </w:p>
        </w:tc>
        <w:tc>
          <w:tcPr>
            <w:tcW w:w="607" w:type="dxa"/>
            <w:shd w:val="clear" w:color="auto" w:fill="FFFFFF" w:themeFill="background1"/>
            <w:vAlign w:val="center"/>
          </w:tcPr>
          <w:p w14:paraId="29FF7205" w14:textId="77777777" w:rsidR="00A7659D" w:rsidRPr="0033055B" w:rsidRDefault="00A7659D" w:rsidP="00A7659D">
            <w:pPr>
              <w:autoSpaceDE w:val="0"/>
              <w:snapToGrid w:val="0"/>
              <w:spacing w:after="0" w:line="240" w:lineRule="auto"/>
              <w:jc w:val="both"/>
              <w:rPr>
                <w:rFonts w:ascii="Calibri" w:hAnsi="Calibri" w:cs="Calibri"/>
                <w:lang w:val="en-GB"/>
              </w:rPr>
            </w:pPr>
          </w:p>
        </w:tc>
        <w:tc>
          <w:tcPr>
            <w:tcW w:w="697" w:type="dxa"/>
            <w:shd w:val="clear" w:color="auto" w:fill="FFFFFF" w:themeFill="background1"/>
            <w:vAlign w:val="center"/>
          </w:tcPr>
          <w:p w14:paraId="47C5EC0E" w14:textId="77777777" w:rsidR="00A7659D" w:rsidRPr="0033055B" w:rsidRDefault="00A7659D" w:rsidP="00A7659D">
            <w:pPr>
              <w:autoSpaceDE w:val="0"/>
              <w:snapToGrid w:val="0"/>
              <w:spacing w:after="0" w:line="240" w:lineRule="auto"/>
              <w:jc w:val="both"/>
              <w:rPr>
                <w:rFonts w:ascii="Calibri" w:hAnsi="Calibri" w:cs="Calibri"/>
                <w:lang w:val="en-GB"/>
              </w:rPr>
            </w:pPr>
          </w:p>
        </w:tc>
        <w:tc>
          <w:tcPr>
            <w:tcW w:w="1092" w:type="dxa"/>
            <w:shd w:val="clear" w:color="auto" w:fill="FFFFFF" w:themeFill="background1"/>
            <w:vAlign w:val="center"/>
          </w:tcPr>
          <w:p w14:paraId="0EFD9E72" w14:textId="77777777" w:rsidR="00A7659D" w:rsidRPr="0033055B" w:rsidRDefault="00A7659D" w:rsidP="00A7659D">
            <w:pPr>
              <w:autoSpaceDE w:val="0"/>
              <w:snapToGrid w:val="0"/>
              <w:spacing w:after="0" w:line="240" w:lineRule="auto"/>
              <w:jc w:val="both"/>
              <w:rPr>
                <w:rFonts w:ascii="Calibri" w:hAnsi="Calibri" w:cs="Calibri"/>
                <w:lang w:val="en-GB"/>
              </w:rPr>
            </w:pPr>
          </w:p>
        </w:tc>
        <w:tc>
          <w:tcPr>
            <w:tcW w:w="1080" w:type="dxa"/>
            <w:shd w:val="clear" w:color="auto" w:fill="FFFFFF" w:themeFill="background1"/>
            <w:vAlign w:val="center"/>
          </w:tcPr>
          <w:p w14:paraId="32B42839" w14:textId="77777777" w:rsidR="00A7659D" w:rsidRPr="0033055B" w:rsidRDefault="00A7659D" w:rsidP="00A7659D">
            <w:pPr>
              <w:autoSpaceDE w:val="0"/>
              <w:snapToGrid w:val="0"/>
              <w:spacing w:after="0" w:line="240" w:lineRule="auto"/>
              <w:jc w:val="both"/>
              <w:rPr>
                <w:rFonts w:ascii="Calibri" w:hAnsi="Calibri" w:cs="Calibri"/>
                <w:lang w:val="en-GB"/>
              </w:rPr>
            </w:pPr>
          </w:p>
        </w:tc>
        <w:tc>
          <w:tcPr>
            <w:tcW w:w="1080" w:type="dxa"/>
            <w:shd w:val="clear" w:color="auto" w:fill="FFFFFF" w:themeFill="background1"/>
            <w:vAlign w:val="center"/>
          </w:tcPr>
          <w:p w14:paraId="4477DE03" w14:textId="77777777" w:rsidR="00A7659D" w:rsidRPr="0033055B" w:rsidRDefault="00A7659D" w:rsidP="00A7659D">
            <w:pPr>
              <w:autoSpaceDE w:val="0"/>
              <w:snapToGrid w:val="0"/>
              <w:spacing w:after="0" w:line="240" w:lineRule="auto"/>
              <w:jc w:val="both"/>
              <w:rPr>
                <w:rFonts w:ascii="Calibri" w:hAnsi="Calibri" w:cs="Calibri"/>
                <w:lang w:val="en-GB"/>
              </w:rPr>
            </w:pPr>
          </w:p>
        </w:tc>
      </w:tr>
      <w:tr w:rsidR="00A7659D" w:rsidRPr="0033055B" w14:paraId="349E2871" w14:textId="77777777" w:rsidTr="00172498">
        <w:trPr>
          <w:trHeight w:val="516"/>
        </w:trPr>
        <w:tc>
          <w:tcPr>
            <w:tcW w:w="1620" w:type="dxa"/>
            <w:vMerge w:val="restart"/>
            <w:shd w:val="clear" w:color="auto" w:fill="FFFFFF" w:themeFill="background1"/>
          </w:tcPr>
          <w:p w14:paraId="48B86402" w14:textId="77777777" w:rsidR="00A7659D" w:rsidRPr="0033055B" w:rsidRDefault="00A7659D" w:rsidP="00A7659D">
            <w:pPr>
              <w:autoSpaceDE w:val="0"/>
              <w:snapToGrid w:val="0"/>
              <w:spacing w:after="0" w:line="240" w:lineRule="auto"/>
              <w:jc w:val="both"/>
              <w:rPr>
                <w:rFonts w:ascii="Calibri" w:hAnsi="Calibri" w:cs="Calibri"/>
                <w:b/>
                <w:lang w:val="en-GB"/>
              </w:rPr>
            </w:pPr>
          </w:p>
          <w:p w14:paraId="64E172FF" w14:textId="77777777" w:rsidR="00A7659D" w:rsidRPr="0033055B" w:rsidRDefault="00A7659D" w:rsidP="00A7659D">
            <w:pPr>
              <w:autoSpaceDE w:val="0"/>
              <w:snapToGrid w:val="0"/>
              <w:spacing w:after="0" w:line="240" w:lineRule="auto"/>
              <w:jc w:val="both"/>
              <w:rPr>
                <w:rFonts w:ascii="Calibri" w:hAnsi="Calibri" w:cs="Calibri"/>
                <w:b/>
              </w:rPr>
            </w:pPr>
            <w:r>
              <w:rPr>
                <w:rFonts w:ascii="Calibri" w:hAnsi="Calibri"/>
                <w:b/>
              </w:rPr>
              <w:t>B) Biomasa nga bujqësia dhe peshkataria:</w:t>
            </w:r>
          </w:p>
        </w:tc>
        <w:tc>
          <w:tcPr>
            <w:tcW w:w="3060" w:type="dxa"/>
            <w:shd w:val="clear" w:color="auto" w:fill="FFFFFF" w:themeFill="background1"/>
            <w:vAlign w:val="center"/>
          </w:tcPr>
          <w:p w14:paraId="38058B69" w14:textId="77777777" w:rsidR="00A7659D" w:rsidRPr="0033055B" w:rsidRDefault="00EB1E33" w:rsidP="00A7659D">
            <w:pPr>
              <w:autoSpaceDE w:val="0"/>
              <w:snapToGrid w:val="0"/>
              <w:spacing w:after="0" w:line="240" w:lineRule="auto"/>
              <w:jc w:val="both"/>
              <w:rPr>
                <w:rFonts w:ascii="Calibri" w:hAnsi="Calibri" w:cs="Calibri"/>
                <w:i/>
              </w:rPr>
            </w:pPr>
            <w:r>
              <w:rPr>
                <w:rFonts w:ascii="Calibri" w:hAnsi="Calibri"/>
                <w:i/>
              </w:rPr>
              <w:t>Nga të cilat:</w:t>
            </w:r>
          </w:p>
        </w:tc>
        <w:tc>
          <w:tcPr>
            <w:tcW w:w="1080" w:type="dxa"/>
            <w:shd w:val="clear" w:color="auto" w:fill="FFFFFF" w:themeFill="background1"/>
            <w:vAlign w:val="center"/>
          </w:tcPr>
          <w:p w14:paraId="47C20EC4" w14:textId="77777777" w:rsidR="00A7659D" w:rsidRPr="0033055B" w:rsidRDefault="00A7659D" w:rsidP="00A7659D">
            <w:pPr>
              <w:autoSpaceDE w:val="0"/>
              <w:snapToGrid w:val="0"/>
              <w:spacing w:after="0" w:line="240" w:lineRule="auto"/>
              <w:jc w:val="center"/>
              <w:rPr>
                <w:rFonts w:ascii="Calibri" w:hAnsi="Calibri" w:cs="Calibri"/>
                <w:lang w:val="en-GB"/>
              </w:rPr>
            </w:pPr>
          </w:p>
        </w:tc>
        <w:tc>
          <w:tcPr>
            <w:tcW w:w="607" w:type="dxa"/>
            <w:shd w:val="clear" w:color="auto" w:fill="FFFFFF" w:themeFill="background1"/>
            <w:vAlign w:val="center"/>
          </w:tcPr>
          <w:p w14:paraId="7ABD43F3" w14:textId="77777777" w:rsidR="00A7659D" w:rsidRPr="0033055B" w:rsidRDefault="00A7659D" w:rsidP="00A7659D">
            <w:pPr>
              <w:autoSpaceDE w:val="0"/>
              <w:snapToGrid w:val="0"/>
              <w:spacing w:after="0" w:line="240" w:lineRule="auto"/>
              <w:jc w:val="both"/>
              <w:rPr>
                <w:rFonts w:ascii="Calibri" w:hAnsi="Calibri" w:cs="Calibri"/>
                <w:lang w:val="en-GB"/>
              </w:rPr>
            </w:pPr>
          </w:p>
        </w:tc>
        <w:tc>
          <w:tcPr>
            <w:tcW w:w="697" w:type="dxa"/>
            <w:shd w:val="clear" w:color="auto" w:fill="FFFFFF" w:themeFill="background1"/>
            <w:vAlign w:val="center"/>
          </w:tcPr>
          <w:p w14:paraId="49E4BDCF" w14:textId="77777777" w:rsidR="00A7659D" w:rsidRPr="0033055B" w:rsidRDefault="00A7659D" w:rsidP="00A7659D">
            <w:pPr>
              <w:autoSpaceDE w:val="0"/>
              <w:snapToGrid w:val="0"/>
              <w:spacing w:after="0" w:line="240" w:lineRule="auto"/>
              <w:jc w:val="both"/>
              <w:rPr>
                <w:rFonts w:ascii="Calibri" w:hAnsi="Calibri" w:cs="Calibri"/>
                <w:lang w:val="en-GB"/>
              </w:rPr>
            </w:pPr>
          </w:p>
        </w:tc>
        <w:tc>
          <w:tcPr>
            <w:tcW w:w="1092" w:type="dxa"/>
            <w:shd w:val="clear" w:color="auto" w:fill="FFFFFF" w:themeFill="background1"/>
            <w:vAlign w:val="center"/>
          </w:tcPr>
          <w:p w14:paraId="675283D7" w14:textId="77777777" w:rsidR="00A7659D" w:rsidRPr="0033055B" w:rsidRDefault="00A7659D" w:rsidP="00A7659D">
            <w:pPr>
              <w:autoSpaceDE w:val="0"/>
              <w:snapToGrid w:val="0"/>
              <w:spacing w:after="0" w:line="240" w:lineRule="auto"/>
              <w:jc w:val="both"/>
              <w:rPr>
                <w:rFonts w:ascii="Calibri" w:hAnsi="Calibri" w:cs="Calibri"/>
                <w:lang w:val="en-GB"/>
              </w:rPr>
            </w:pPr>
          </w:p>
        </w:tc>
        <w:tc>
          <w:tcPr>
            <w:tcW w:w="1080" w:type="dxa"/>
            <w:shd w:val="clear" w:color="auto" w:fill="FFFFFF" w:themeFill="background1"/>
            <w:vAlign w:val="center"/>
          </w:tcPr>
          <w:p w14:paraId="6398C08C" w14:textId="77777777" w:rsidR="00A7659D" w:rsidRPr="0033055B" w:rsidRDefault="00A7659D" w:rsidP="00A7659D">
            <w:pPr>
              <w:autoSpaceDE w:val="0"/>
              <w:snapToGrid w:val="0"/>
              <w:spacing w:after="0" w:line="240" w:lineRule="auto"/>
              <w:jc w:val="both"/>
              <w:rPr>
                <w:rFonts w:ascii="Calibri" w:hAnsi="Calibri" w:cs="Calibri"/>
                <w:lang w:val="en-GB"/>
              </w:rPr>
            </w:pPr>
          </w:p>
        </w:tc>
        <w:tc>
          <w:tcPr>
            <w:tcW w:w="1080" w:type="dxa"/>
            <w:shd w:val="clear" w:color="auto" w:fill="FFFFFF" w:themeFill="background1"/>
            <w:vAlign w:val="center"/>
          </w:tcPr>
          <w:p w14:paraId="761F94D8" w14:textId="77777777" w:rsidR="00A7659D" w:rsidRPr="0033055B" w:rsidRDefault="00A7659D" w:rsidP="00A7659D">
            <w:pPr>
              <w:autoSpaceDE w:val="0"/>
              <w:snapToGrid w:val="0"/>
              <w:spacing w:after="0" w:line="240" w:lineRule="auto"/>
              <w:jc w:val="both"/>
              <w:rPr>
                <w:rFonts w:ascii="Calibri" w:hAnsi="Calibri" w:cs="Calibri"/>
                <w:lang w:val="en-GB"/>
              </w:rPr>
            </w:pPr>
          </w:p>
        </w:tc>
      </w:tr>
      <w:tr w:rsidR="00A7659D" w:rsidRPr="0033055B" w14:paraId="5AB8338B" w14:textId="77777777" w:rsidTr="00172498">
        <w:trPr>
          <w:trHeight w:val="689"/>
        </w:trPr>
        <w:tc>
          <w:tcPr>
            <w:tcW w:w="1620" w:type="dxa"/>
            <w:vMerge/>
            <w:shd w:val="clear" w:color="auto" w:fill="FFFFFF" w:themeFill="background1"/>
            <w:vAlign w:val="center"/>
          </w:tcPr>
          <w:p w14:paraId="32824833" w14:textId="77777777" w:rsidR="00A7659D" w:rsidRPr="0033055B" w:rsidRDefault="00A7659D" w:rsidP="00A7659D">
            <w:pPr>
              <w:spacing w:after="0" w:line="240" w:lineRule="auto"/>
              <w:rPr>
                <w:rFonts w:ascii="Calibri" w:hAnsi="Calibri" w:cs="Calibri"/>
                <w:lang w:val="en-GB"/>
              </w:rPr>
            </w:pPr>
          </w:p>
        </w:tc>
        <w:tc>
          <w:tcPr>
            <w:tcW w:w="3060" w:type="dxa"/>
            <w:shd w:val="clear" w:color="auto" w:fill="FFFFFF" w:themeFill="background1"/>
            <w:vAlign w:val="center"/>
          </w:tcPr>
          <w:p w14:paraId="4B189B80" w14:textId="77777777" w:rsidR="00A7659D" w:rsidRPr="0033055B" w:rsidRDefault="00A7659D" w:rsidP="00A7659D">
            <w:pPr>
              <w:autoSpaceDE w:val="0"/>
              <w:snapToGrid w:val="0"/>
              <w:spacing w:after="0" w:line="240" w:lineRule="auto"/>
              <w:jc w:val="both"/>
              <w:rPr>
                <w:rFonts w:ascii="Calibri" w:hAnsi="Calibri" w:cs="Calibri"/>
                <w:b/>
              </w:rPr>
            </w:pPr>
            <w:r>
              <w:rPr>
                <w:rFonts w:ascii="Calibri" w:hAnsi="Calibri"/>
                <w:b/>
              </w:rPr>
              <w:t>(1) të vjela bujqësore dhe produkte peshkatare drejtpërdrejt të përdorura për prodhim të energjisë</w:t>
            </w:r>
          </w:p>
        </w:tc>
        <w:tc>
          <w:tcPr>
            <w:tcW w:w="1080" w:type="dxa"/>
            <w:shd w:val="clear" w:color="auto" w:fill="FFFFFF" w:themeFill="background1"/>
            <w:vAlign w:val="center"/>
          </w:tcPr>
          <w:p w14:paraId="0A126893" w14:textId="77777777" w:rsidR="00A7659D" w:rsidRPr="0033055B" w:rsidRDefault="00A7659D" w:rsidP="00A7659D">
            <w:pPr>
              <w:autoSpaceDE w:val="0"/>
              <w:snapToGrid w:val="0"/>
              <w:spacing w:after="0" w:line="240" w:lineRule="auto"/>
              <w:jc w:val="center"/>
              <w:rPr>
                <w:rFonts w:ascii="Calibri" w:hAnsi="Calibri" w:cs="Calibri"/>
                <w:lang w:val="en-GB"/>
              </w:rPr>
            </w:pPr>
          </w:p>
        </w:tc>
        <w:tc>
          <w:tcPr>
            <w:tcW w:w="607" w:type="dxa"/>
            <w:shd w:val="clear" w:color="auto" w:fill="FFFFFF" w:themeFill="background1"/>
            <w:vAlign w:val="center"/>
          </w:tcPr>
          <w:p w14:paraId="7F429887" w14:textId="77777777" w:rsidR="00A7659D" w:rsidRPr="0033055B" w:rsidRDefault="00A7659D" w:rsidP="00A7659D">
            <w:pPr>
              <w:autoSpaceDE w:val="0"/>
              <w:snapToGrid w:val="0"/>
              <w:spacing w:after="0" w:line="240" w:lineRule="auto"/>
              <w:jc w:val="both"/>
              <w:rPr>
                <w:rFonts w:ascii="Calibri" w:hAnsi="Calibri" w:cs="Calibri"/>
                <w:lang w:val="en-GB"/>
              </w:rPr>
            </w:pPr>
          </w:p>
        </w:tc>
        <w:tc>
          <w:tcPr>
            <w:tcW w:w="697" w:type="dxa"/>
            <w:shd w:val="clear" w:color="auto" w:fill="FFFFFF" w:themeFill="background1"/>
            <w:vAlign w:val="center"/>
          </w:tcPr>
          <w:p w14:paraId="38E27E09" w14:textId="77777777" w:rsidR="00A7659D" w:rsidRPr="0033055B" w:rsidRDefault="00A7659D" w:rsidP="00A7659D">
            <w:pPr>
              <w:autoSpaceDE w:val="0"/>
              <w:snapToGrid w:val="0"/>
              <w:spacing w:after="0" w:line="240" w:lineRule="auto"/>
              <w:jc w:val="both"/>
              <w:rPr>
                <w:rFonts w:ascii="Calibri" w:hAnsi="Calibri" w:cs="Calibri"/>
                <w:lang w:val="en-GB"/>
              </w:rPr>
            </w:pPr>
          </w:p>
        </w:tc>
        <w:tc>
          <w:tcPr>
            <w:tcW w:w="1092" w:type="dxa"/>
            <w:shd w:val="clear" w:color="auto" w:fill="FFFFFF" w:themeFill="background1"/>
            <w:vAlign w:val="center"/>
          </w:tcPr>
          <w:p w14:paraId="6409F702" w14:textId="77777777" w:rsidR="00A7659D" w:rsidRPr="0033055B" w:rsidRDefault="00A7659D" w:rsidP="00A7659D">
            <w:pPr>
              <w:autoSpaceDE w:val="0"/>
              <w:snapToGrid w:val="0"/>
              <w:spacing w:after="0" w:line="240" w:lineRule="auto"/>
              <w:jc w:val="both"/>
              <w:rPr>
                <w:rFonts w:ascii="Calibri" w:hAnsi="Calibri" w:cs="Calibri"/>
                <w:lang w:val="en-GB"/>
              </w:rPr>
            </w:pPr>
          </w:p>
        </w:tc>
        <w:tc>
          <w:tcPr>
            <w:tcW w:w="1080" w:type="dxa"/>
            <w:shd w:val="clear" w:color="auto" w:fill="FFFFFF" w:themeFill="background1"/>
            <w:vAlign w:val="center"/>
          </w:tcPr>
          <w:p w14:paraId="6D55FC76" w14:textId="77777777" w:rsidR="00A7659D" w:rsidRPr="0033055B" w:rsidRDefault="00A7659D" w:rsidP="00A7659D">
            <w:pPr>
              <w:autoSpaceDE w:val="0"/>
              <w:snapToGrid w:val="0"/>
              <w:spacing w:after="0" w:line="240" w:lineRule="auto"/>
              <w:jc w:val="both"/>
              <w:rPr>
                <w:rFonts w:ascii="Calibri" w:hAnsi="Calibri" w:cs="Calibri"/>
                <w:lang w:val="en-GB"/>
              </w:rPr>
            </w:pPr>
          </w:p>
        </w:tc>
        <w:tc>
          <w:tcPr>
            <w:tcW w:w="1080" w:type="dxa"/>
            <w:shd w:val="clear" w:color="auto" w:fill="FFFFFF" w:themeFill="background1"/>
            <w:vAlign w:val="center"/>
          </w:tcPr>
          <w:p w14:paraId="16C33AEC" w14:textId="77777777" w:rsidR="00A7659D" w:rsidRPr="0033055B" w:rsidRDefault="00A7659D" w:rsidP="00A7659D">
            <w:pPr>
              <w:autoSpaceDE w:val="0"/>
              <w:snapToGrid w:val="0"/>
              <w:spacing w:after="0" w:line="240" w:lineRule="auto"/>
              <w:jc w:val="both"/>
              <w:rPr>
                <w:rFonts w:ascii="Calibri" w:hAnsi="Calibri" w:cs="Calibri"/>
                <w:lang w:val="en-GB"/>
              </w:rPr>
            </w:pPr>
          </w:p>
        </w:tc>
      </w:tr>
      <w:tr w:rsidR="00A7659D" w:rsidRPr="0033055B" w14:paraId="57FEC4FC" w14:textId="77777777" w:rsidTr="00172498">
        <w:trPr>
          <w:trHeight w:val="1953"/>
        </w:trPr>
        <w:tc>
          <w:tcPr>
            <w:tcW w:w="1620" w:type="dxa"/>
            <w:vMerge/>
            <w:shd w:val="clear" w:color="auto" w:fill="FFFFFF" w:themeFill="background1"/>
            <w:vAlign w:val="center"/>
          </w:tcPr>
          <w:p w14:paraId="679E4418" w14:textId="77777777" w:rsidR="00A7659D" w:rsidRPr="0033055B" w:rsidRDefault="00A7659D" w:rsidP="00A7659D">
            <w:pPr>
              <w:spacing w:after="0" w:line="240" w:lineRule="auto"/>
              <w:rPr>
                <w:rFonts w:ascii="Calibri" w:hAnsi="Calibri" w:cs="Calibri"/>
                <w:lang w:val="en-GB"/>
              </w:rPr>
            </w:pPr>
          </w:p>
        </w:tc>
        <w:tc>
          <w:tcPr>
            <w:tcW w:w="3060" w:type="dxa"/>
            <w:shd w:val="clear" w:color="auto" w:fill="FFFFFF" w:themeFill="background1"/>
            <w:vAlign w:val="center"/>
          </w:tcPr>
          <w:p w14:paraId="3DA73C70" w14:textId="77777777" w:rsidR="00A7659D" w:rsidRPr="0033055B" w:rsidRDefault="00A7659D" w:rsidP="00A7659D">
            <w:pPr>
              <w:autoSpaceDE w:val="0"/>
              <w:spacing w:after="0" w:line="240" w:lineRule="auto"/>
              <w:jc w:val="both"/>
              <w:rPr>
                <w:rFonts w:ascii="Calibri" w:hAnsi="Calibri" w:cs="Calibri"/>
                <w:i/>
                <w:iCs/>
              </w:rPr>
            </w:pPr>
            <w:r>
              <w:rPr>
                <w:rFonts w:ascii="Calibri" w:hAnsi="Calibri"/>
                <w:i/>
                <w:iCs/>
              </w:rPr>
              <w:t>Opsionale - nëse ka informata, mund të jepen më shumë detaje</w:t>
            </w:r>
          </w:p>
          <w:p w14:paraId="53C667DB" w14:textId="77777777" w:rsidR="00A7659D" w:rsidRPr="0033055B" w:rsidRDefault="00A7659D" w:rsidP="00A7659D">
            <w:pPr>
              <w:pStyle w:val="CM4"/>
              <w:numPr>
                <w:ilvl w:val="0"/>
                <w:numId w:val="3"/>
              </w:numPr>
              <w:rPr>
                <w:rFonts w:ascii="Calibri" w:hAnsi="Calibri" w:cs="Calibri"/>
                <w:sz w:val="22"/>
                <w:szCs w:val="22"/>
              </w:rPr>
            </w:pPr>
            <w:r>
              <w:rPr>
                <w:rFonts w:ascii="Calibri" w:hAnsi="Calibri"/>
                <w:sz w:val="22"/>
                <w:szCs w:val="22"/>
              </w:rPr>
              <w:t xml:space="preserve">Kulturat ushqimore (drithëra, fara vaji, panxhari, misër silazh) </w:t>
            </w:r>
          </w:p>
          <w:p w14:paraId="7D8B2E39" w14:textId="77777777" w:rsidR="00A7659D" w:rsidRPr="0033055B" w:rsidRDefault="00A7659D" w:rsidP="00A7659D">
            <w:pPr>
              <w:pStyle w:val="CM4"/>
              <w:numPr>
                <w:ilvl w:val="0"/>
                <w:numId w:val="3"/>
              </w:numPr>
              <w:rPr>
                <w:rFonts w:ascii="Calibri" w:hAnsi="Calibri" w:cs="Calibri"/>
                <w:sz w:val="22"/>
                <w:szCs w:val="22"/>
              </w:rPr>
            </w:pPr>
            <w:r>
              <w:rPr>
                <w:rFonts w:ascii="Calibri" w:hAnsi="Calibri"/>
                <w:sz w:val="22"/>
                <w:szCs w:val="22"/>
              </w:rPr>
              <w:t xml:space="preserve">Plantacionet  </w:t>
            </w:r>
          </w:p>
          <w:p w14:paraId="5F792F99" w14:textId="77777777" w:rsidR="00A7659D" w:rsidRPr="0033055B" w:rsidRDefault="00A7659D" w:rsidP="00A7659D">
            <w:pPr>
              <w:pStyle w:val="CM4"/>
              <w:numPr>
                <w:ilvl w:val="0"/>
                <w:numId w:val="3"/>
              </w:numPr>
              <w:rPr>
                <w:rFonts w:ascii="Calibri" w:hAnsi="Calibri" w:cs="Calibri"/>
                <w:sz w:val="22"/>
                <w:szCs w:val="22"/>
              </w:rPr>
            </w:pPr>
            <w:r>
              <w:rPr>
                <w:rFonts w:ascii="Calibri" w:hAnsi="Calibri"/>
                <w:sz w:val="22"/>
                <w:szCs w:val="22"/>
              </w:rPr>
              <w:t xml:space="preserve">Trungjet e shkurtra </w:t>
            </w:r>
          </w:p>
          <w:p w14:paraId="4723FA31" w14:textId="77777777" w:rsidR="00A7659D" w:rsidRPr="0033055B" w:rsidRDefault="00A7659D" w:rsidP="00A7659D">
            <w:pPr>
              <w:pStyle w:val="CM4"/>
              <w:numPr>
                <w:ilvl w:val="0"/>
                <w:numId w:val="3"/>
              </w:numPr>
              <w:rPr>
                <w:rFonts w:ascii="Calibri" w:hAnsi="Calibri" w:cs="Calibri"/>
                <w:sz w:val="22"/>
                <w:szCs w:val="22"/>
              </w:rPr>
            </w:pPr>
            <w:r>
              <w:rPr>
                <w:rFonts w:ascii="Calibri" w:hAnsi="Calibri"/>
                <w:sz w:val="22"/>
                <w:szCs w:val="22"/>
              </w:rPr>
              <w:t xml:space="preserve">Kultura të tjera energjetike (barishte) </w:t>
            </w:r>
          </w:p>
          <w:p w14:paraId="4A41FC12" w14:textId="77777777" w:rsidR="00A7659D" w:rsidRPr="0033055B" w:rsidRDefault="00A7659D" w:rsidP="00A7659D">
            <w:pPr>
              <w:pStyle w:val="CM4"/>
              <w:numPr>
                <w:ilvl w:val="0"/>
                <w:numId w:val="3"/>
              </w:numPr>
              <w:rPr>
                <w:rFonts w:ascii="Calibri" w:hAnsi="Calibri" w:cs="Calibri"/>
                <w:sz w:val="22"/>
                <w:szCs w:val="22"/>
              </w:rPr>
            </w:pPr>
            <w:r>
              <w:rPr>
                <w:rFonts w:ascii="Calibri" w:hAnsi="Calibri"/>
                <w:sz w:val="22"/>
                <w:szCs w:val="22"/>
              </w:rPr>
              <w:t xml:space="preserve">Algat  </w:t>
            </w:r>
          </w:p>
          <w:p w14:paraId="6070294F" w14:textId="77777777" w:rsidR="00A7659D" w:rsidRPr="0033055B" w:rsidRDefault="00A7659D" w:rsidP="00A7659D">
            <w:pPr>
              <w:pStyle w:val="CM4"/>
              <w:numPr>
                <w:ilvl w:val="0"/>
                <w:numId w:val="3"/>
              </w:numPr>
              <w:rPr>
                <w:rFonts w:ascii="Calibri" w:hAnsi="Calibri" w:cs="Calibri"/>
                <w:i/>
                <w:sz w:val="22"/>
                <w:szCs w:val="22"/>
              </w:rPr>
            </w:pPr>
            <w:r>
              <w:rPr>
                <w:rFonts w:ascii="Calibri" w:hAnsi="Calibri"/>
                <w:sz w:val="22"/>
                <w:szCs w:val="22"/>
              </w:rPr>
              <w:t>Të tjera (defino)</w:t>
            </w:r>
          </w:p>
        </w:tc>
        <w:tc>
          <w:tcPr>
            <w:tcW w:w="1080" w:type="dxa"/>
            <w:shd w:val="clear" w:color="auto" w:fill="FFFFFF" w:themeFill="background1"/>
            <w:vAlign w:val="center"/>
          </w:tcPr>
          <w:p w14:paraId="49EDB5AF" w14:textId="77777777" w:rsidR="00A7659D" w:rsidRPr="0033055B" w:rsidRDefault="00A7659D" w:rsidP="00A7659D">
            <w:pPr>
              <w:autoSpaceDE w:val="0"/>
              <w:snapToGrid w:val="0"/>
              <w:spacing w:after="0" w:line="240" w:lineRule="auto"/>
              <w:jc w:val="both"/>
              <w:rPr>
                <w:rFonts w:ascii="Calibri" w:hAnsi="Calibri" w:cs="Calibri"/>
                <w:lang w:val="en-GB"/>
              </w:rPr>
            </w:pPr>
          </w:p>
        </w:tc>
        <w:tc>
          <w:tcPr>
            <w:tcW w:w="607" w:type="dxa"/>
            <w:shd w:val="clear" w:color="auto" w:fill="FFFFFF" w:themeFill="background1"/>
            <w:vAlign w:val="center"/>
          </w:tcPr>
          <w:p w14:paraId="3F5FC953" w14:textId="77777777" w:rsidR="00A7659D" w:rsidRPr="0033055B" w:rsidRDefault="00A7659D" w:rsidP="00A7659D">
            <w:pPr>
              <w:autoSpaceDE w:val="0"/>
              <w:snapToGrid w:val="0"/>
              <w:spacing w:after="0" w:line="240" w:lineRule="auto"/>
              <w:jc w:val="both"/>
              <w:rPr>
                <w:rFonts w:ascii="Calibri" w:hAnsi="Calibri" w:cs="Calibri"/>
                <w:lang w:val="en-GB"/>
              </w:rPr>
            </w:pPr>
          </w:p>
        </w:tc>
        <w:tc>
          <w:tcPr>
            <w:tcW w:w="697" w:type="dxa"/>
            <w:shd w:val="clear" w:color="auto" w:fill="FFFFFF" w:themeFill="background1"/>
            <w:vAlign w:val="center"/>
          </w:tcPr>
          <w:p w14:paraId="58BB4B52" w14:textId="77777777" w:rsidR="00A7659D" w:rsidRPr="0033055B" w:rsidRDefault="00A7659D" w:rsidP="00A7659D">
            <w:pPr>
              <w:autoSpaceDE w:val="0"/>
              <w:snapToGrid w:val="0"/>
              <w:spacing w:after="0" w:line="240" w:lineRule="auto"/>
              <w:jc w:val="both"/>
              <w:rPr>
                <w:rFonts w:ascii="Calibri" w:hAnsi="Calibri" w:cs="Calibri"/>
                <w:lang w:val="en-GB"/>
              </w:rPr>
            </w:pPr>
          </w:p>
        </w:tc>
        <w:tc>
          <w:tcPr>
            <w:tcW w:w="1092" w:type="dxa"/>
            <w:shd w:val="clear" w:color="auto" w:fill="FFFFFF" w:themeFill="background1"/>
            <w:vAlign w:val="center"/>
          </w:tcPr>
          <w:p w14:paraId="24455E49" w14:textId="77777777" w:rsidR="00A7659D" w:rsidRPr="0033055B" w:rsidRDefault="00A7659D" w:rsidP="00A7659D">
            <w:pPr>
              <w:autoSpaceDE w:val="0"/>
              <w:snapToGrid w:val="0"/>
              <w:spacing w:after="0" w:line="240" w:lineRule="auto"/>
              <w:jc w:val="both"/>
              <w:rPr>
                <w:rFonts w:ascii="Calibri" w:hAnsi="Calibri" w:cs="Calibri"/>
                <w:lang w:val="en-GB"/>
              </w:rPr>
            </w:pPr>
          </w:p>
        </w:tc>
        <w:tc>
          <w:tcPr>
            <w:tcW w:w="1080" w:type="dxa"/>
            <w:shd w:val="clear" w:color="auto" w:fill="FFFFFF" w:themeFill="background1"/>
            <w:vAlign w:val="center"/>
          </w:tcPr>
          <w:p w14:paraId="143ED3AA" w14:textId="77777777" w:rsidR="00A7659D" w:rsidRPr="0033055B" w:rsidRDefault="00A7659D" w:rsidP="00A7659D">
            <w:pPr>
              <w:autoSpaceDE w:val="0"/>
              <w:snapToGrid w:val="0"/>
              <w:spacing w:after="0" w:line="240" w:lineRule="auto"/>
              <w:jc w:val="both"/>
              <w:rPr>
                <w:rFonts w:ascii="Calibri" w:hAnsi="Calibri" w:cs="Calibri"/>
                <w:lang w:val="en-GB"/>
              </w:rPr>
            </w:pPr>
          </w:p>
        </w:tc>
        <w:tc>
          <w:tcPr>
            <w:tcW w:w="1080" w:type="dxa"/>
            <w:shd w:val="clear" w:color="auto" w:fill="FFFFFF" w:themeFill="background1"/>
            <w:vAlign w:val="center"/>
          </w:tcPr>
          <w:p w14:paraId="494ADCA0" w14:textId="77777777" w:rsidR="00A7659D" w:rsidRPr="0033055B" w:rsidRDefault="00A7659D" w:rsidP="00A7659D">
            <w:pPr>
              <w:autoSpaceDE w:val="0"/>
              <w:snapToGrid w:val="0"/>
              <w:spacing w:after="0" w:line="240" w:lineRule="auto"/>
              <w:jc w:val="both"/>
              <w:rPr>
                <w:rFonts w:ascii="Calibri" w:hAnsi="Calibri" w:cs="Calibri"/>
                <w:lang w:val="en-GB"/>
              </w:rPr>
            </w:pPr>
          </w:p>
        </w:tc>
      </w:tr>
      <w:tr w:rsidR="00A7659D" w:rsidRPr="0033055B" w14:paraId="01E03C23" w14:textId="77777777" w:rsidTr="00172498">
        <w:tc>
          <w:tcPr>
            <w:tcW w:w="1620" w:type="dxa"/>
            <w:vMerge/>
            <w:shd w:val="clear" w:color="auto" w:fill="FFFFFF" w:themeFill="background1"/>
            <w:vAlign w:val="center"/>
          </w:tcPr>
          <w:p w14:paraId="63D7CFBC" w14:textId="77777777" w:rsidR="00A7659D" w:rsidRPr="0033055B" w:rsidRDefault="00A7659D" w:rsidP="00A7659D">
            <w:pPr>
              <w:spacing w:after="0" w:line="240" w:lineRule="auto"/>
              <w:rPr>
                <w:rFonts w:ascii="Calibri" w:hAnsi="Calibri" w:cs="Calibri"/>
                <w:lang w:val="en-GB"/>
              </w:rPr>
            </w:pPr>
          </w:p>
        </w:tc>
        <w:tc>
          <w:tcPr>
            <w:tcW w:w="3060" w:type="dxa"/>
            <w:shd w:val="clear" w:color="auto" w:fill="FFFFFF" w:themeFill="background1"/>
            <w:vAlign w:val="center"/>
          </w:tcPr>
          <w:p w14:paraId="6949577B" w14:textId="77777777" w:rsidR="00A7659D" w:rsidRPr="0033055B" w:rsidRDefault="00A7659D" w:rsidP="00A7659D">
            <w:pPr>
              <w:autoSpaceDE w:val="0"/>
              <w:spacing w:after="0" w:line="240" w:lineRule="auto"/>
              <w:rPr>
                <w:rFonts w:ascii="Calibri" w:hAnsi="Calibri" w:cs="Calibri"/>
                <w:i/>
              </w:rPr>
            </w:pPr>
            <w:r>
              <w:rPr>
                <w:rFonts w:ascii="Calibri" w:hAnsi="Calibri"/>
                <w:b/>
              </w:rPr>
              <w:t>(2) nus-produktet bujqësore/ mbetjet e përpunuara dhe nus-produktet e peshkatarisë për prodhim energjie</w:t>
            </w:r>
          </w:p>
        </w:tc>
        <w:tc>
          <w:tcPr>
            <w:tcW w:w="1080" w:type="dxa"/>
            <w:shd w:val="clear" w:color="auto" w:fill="FFFFFF" w:themeFill="background1"/>
            <w:vAlign w:val="center"/>
          </w:tcPr>
          <w:p w14:paraId="3DADF103" w14:textId="77777777" w:rsidR="00A7659D" w:rsidRPr="0033055B" w:rsidRDefault="00A7659D" w:rsidP="00A7659D">
            <w:pPr>
              <w:autoSpaceDE w:val="0"/>
              <w:snapToGrid w:val="0"/>
              <w:spacing w:after="0" w:line="240" w:lineRule="auto"/>
              <w:jc w:val="both"/>
              <w:rPr>
                <w:rFonts w:ascii="Calibri" w:hAnsi="Calibri" w:cs="Calibri"/>
                <w:lang w:val="en-GB"/>
              </w:rPr>
            </w:pPr>
          </w:p>
        </w:tc>
        <w:tc>
          <w:tcPr>
            <w:tcW w:w="607" w:type="dxa"/>
            <w:shd w:val="clear" w:color="auto" w:fill="FFFFFF" w:themeFill="background1"/>
            <w:vAlign w:val="center"/>
          </w:tcPr>
          <w:p w14:paraId="5503C612" w14:textId="77777777" w:rsidR="00A7659D" w:rsidRPr="0033055B" w:rsidRDefault="00A7659D" w:rsidP="00A7659D">
            <w:pPr>
              <w:autoSpaceDE w:val="0"/>
              <w:snapToGrid w:val="0"/>
              <w:spacing w:after="0" w:line="240" w:lineRule="auto"/>
              <w:jc w:val="both"/>
              <w:rPr>
                <w:rFonts w:ascii="Calibri" w:hAnsi="Calibri" w:cs="Calibri"/>
                <w:lang w:val="en-GB"/>
              </w:rPr>
            </w:pPr>
          </w:p>
        </w:tc>
        <w:tc>
          <w:tcPr>
            <w:tcW w:w="697" w:type="dxa"/>
            <w:shd w:val="clear" w:color="auto" w:fill="FFFFFF" w:themeFill="background1"/>
            <w:vAlign w:val="center"/>
          </w:tcPr>
          <w:p w14:paraId="0CD29368" w14:textId="77777777" w:rsidR="00A7659D" w:rsidRPr="0033055B" w:rsidRDefault="00A7659D" w:rsidP="00A7659D">
            <w:pPr>
              <w:autoSpaceDE w:val="0"/>
              <w:snapToGrid w:val="0"/>
              <w:spacing w:after="0" w:line="240" w:lineRule="auto"/>
              <w:jc w:val="both"/>
              <w:rPr>
                <w:rFonts w:ascii="Calibri" w:hAnsi="Calibri" w:cs="Calibri"/>
                <w:lang w:val="en-GB"/>
              </w:rPr>
            </w:pPr>
          </w:p>
        </w:tc>
        <w:tc>
          <w:tcPr>
            <w:tcW w:w="1092" w:type="dxa"/>
            <w:shd w:val="clear" w:color="auto" w:fill="FFFFFF" w:themeFill="background1"/>
            <w:vAlign w:val="center"/>
          </w:tcPr>
          <w:p w14:paraId="056DC1B8" w14:textId="77777777" w:rsidR="00A7659D" w:rsidRPr="0033055B" w:rsidRDefault="00A7659D" w:rsidP="00A7659D">
            <w:pPr>
              <w:autoSpaceDE w:val="0"/>
              <w:snapToGrid w:val="0"/>
              <w:spacing w:after="0" w:line="240" w:lineRule="auto"/>
              <w:jc w:val="both"/>
              <w:rPr>
                <w:rFonts w:ascii="Calibri" w:hAnsi="Calibri" w:cs="Calibri"/>
                <w:lang w:val="en-GB"/>
              </w:rPr>
            </w:pPr>
          </w:p>
        </w:tc>
        <w:tc>
          <w:tcPr>
            <w:tcW w:w="1080" w:type="dxa"/>
            <w:shd w:val="clear" w:color="auto" w:fill="FFFFFF" w:themeFill="background1"/>
            <w:vAlign w:val="center"/>
          </w:tcPr>
          <w:p w14:paraId="5EAD6784" w14:textId="77777777" w:rsidR="00A7659D" w:rsidRPr="0033055B" w:rsidRDefault="00A7659D" w:rsidP="00A7659D">
            <w:pPr>
              <w:autoSpaceDE w:val="0"/>
              <w:snapToGrid w:val="0"/>
              <w:spacing w:after="0" w:line="240" w:lineRule="auto"/>
              <w:jc w:val="both"/>
              <w:rPr>
                <w:rFonts w:ascii="Calibri" w:hAnsi="Calibri" w:cs="Calibri"/>
                <w:lang w:val="en-GB"/>
              </w:rPr>
            </w:pPr>
          </w:p>
        </w:tc>
        <w:tc>
          <w:tcPr>
            <w:tcW w:w="1080" w:type="dxa"/>
            <w:shd w:val="clear" w:color="auto" w:fill="FFFFFF" w:themeFill="background1"/>
            <w:vAlign w:val="center"/>
          </w:tcPr>
          <w:p w14:paraId="3D690B38" w14:textId="77777777" w:rsidR="00A7659D" w:rsidRPr="0033055B" w:rsidRDefault="00A7659D" w:rsidP="00A7659D">
            <w:pPr>
              <w:autoSpaceDE w:val="0"/>
              <w:snapToGrid w:val="0"/>
              <w:spacing w:after="0" w:line="240" w:lineRule="auto"/>
              <w:jc w:val="both"/>
              <w:rPr>
                <w:rFonts w:ascii="Calibri" w:hAnsi="Calibri" w:cs="Calibri"/>
                <w:lang w:val="en-GB"/>
              </w:rPr>
            </w:pPr>
          </w:p>
        </w:tc>
      </w:tr>
      <w:tr w:rsidR="00A7659D" w:rsidRPr="0033055B" w14:paraId="5D493238" w14:textId="77777777" w:rsidTr="00172498">
        <w:trPr>
          <w:trHeight w:val="2859"/>
        </w:trPr>
        <w:tc>
          <w:tcPr>
            <w:tcW w:w="1620" w:type="dxa"/>
            <w:vMerge/>
            <w:shd w:val="clear" w:color="auto" w:fill="FFFFFF" w:themeFill="background1"/>
            <w:vAlign w:val="center"/>
          </w:tcPr>
          <w:p w14:paraId="126FC78F" w14:textId="77777777" w:rsidR="00A7659D" w:rsidRPr="0033055B" w:rsidRDefault="00A7659D" w:rsidP="00A7659D">
            <w:pPr>
              <w:spacing w:after="0" w:line="240" w:lineRule="auto"/>
              <w:rPr>
                <w:rFonts w:ascii="Calibri" w:hAnsi="Calibri" w:cs="Calibri"/>
                <w:lang w:val="en-GB"/>
              </w:rPr>
            </w:pPr>
          </w:p>
        </w:tc>
        <w:tc>
          <w:tcPr>
            <w:tcW w:w="3060" w:type="dxa"/>
            <w:shd w:val="clear" w:color="auto" w:fill="FFFFFF" w:themeFill="background1"/>
            <w:vAlign w:val="center"/>
          </w:tcPr>
          <w:p w14:paraId="65477F4F" w14:textId="77777777" w:rsidR="00A7659D" w:rsidRPr="0033055B" w:rsidRDefault="00A7659D" w:rsidP="00A7659D">
            <w:pPr>
              <w:autoSpaceDE w:val="0"/>
              <w:spacing w:after="0" w:line="240" w:lineRule="auto"/>
              <w:jc w:val="both"/>
              <w:rPr>
                <w:rFonts w:ascii="Calibri" w:hAnsi="Calibri" w:cs="Calibri"/>
                <w:i/>
                <w:iCs/>
              </w:rPr>
            </w:pPr>
            <w:r>
              <w:rPr>
                <w:rFonts w:ascii="Calibri" w:hAnsi="Calibri"/>
                <w:i/>
                <w:iCs/>
              </w:rPr>
              <w:t xml:space="preserve">Opsionale - nëse ka informata, mund të jepen më shumë detaje </w:t>
            </w:r>
          </w:p>
          <w:p w14:paraId="02EBD9B0" w14:textId="77777777" w:rsidR="00A7659D" w:rsidRPr="0033055B" w:rsidRDefault="00A7659D" w:rsidP="00A7659D">
            <w:pPr>
              <w:autoSpaceDE w:val="0"/>
              <w:spacing w:after="0" w:line="240" w:lineRule="auto"/>
              <w:jc w:val="both"/>
              <w:rPr>
                <w:rFonts w:ascii="Calibri" w:hAnsi="Calibri" w:cs="Calibri"/>
              </w:rPr>
            </w:pPr>
            <w:r>
              <w:rPr>
                <w:rFonts w:ascii="Calibri" w:hAnsi="Calibri"/>
              </w:rPr>
              <w:t xml:space="preserve">(a) kashta </w:t>
            </w:r>
          </w:p>
          <w:p w14:paraId="2D0ADC34" w14:textId="77777777" w:rsidR="00A7659D" w:rsidRPr="0033055B" w:rsidRDefault="00A7659D" w:rsidP="00A7659D">
            <w:pPr>
              <w:autoSpaceDE w:val="0"/>
              <w:spacing w:after="0" w:line="240" w:lineRule="auto"/>
              <w:jc w:val="both"/>
              <w:rPr>
                <w:rFonts w:ascii="Calibri" w:hAnsi="Calibri" w:cs="Calibri"/>
              </w:rPr>
            </w:pPr>
            <w:r>
              <w:rPr>
                <w:rFonts w:ascii="Calibri" w:hAnsi="Calibri"/>
              </w:rPr>
              <w:t xml:space="preserve">(b) plehu </w:t>
            </w:r>
          </w:p>
          <w:p w14:paraId="14AE7144" w14:textId="77777777" w:rsidR="00A7659D" w:rsidRPr="0033055B" w:rsidRDefault="00A7659D" w:rsidP="00A7659D">
            <w:pPr>
              <w:autoSpaceDE w:val="0"/>
              <w:spacing w:after="0" w:line="240" w:lineRule="auto"/>
              <w:jc w:val="both"/>
              <w:rPr>
                <w:rFonts w:ascii="Calibri" w:hAnsi="Calibri" w:cs="Calibri"/>
              </w:rPr>
            </w:pPr>
            <w:r>
              <w:rPr>
                <w:rFonts w:ascii="Calibri" w:hAnsi="Calibri"/>
              </w:rPr>
              <w:t xml:space="preserve">(c) yndyra shtazore </w:t>
            </w:r>
          </w:p>
          <w:p w14:paraId="033BF4EE" w14:textId="77777777" w:rsidR="00A7659D" w:rsidRPr="0033055B" w:rsidRDefault="00A7659D" w:rsidP="00A7659D">
            <w:pPr>
              <w:autoSpaceDE w:val="0"/>
              <w:spacing w:after="0" w:line="240" w:lineRule="auto"/>
              <w:jc w:val="both"/>
              <w:rPr>
                <w:rFonts w:ascii="Calibri" w:hAnsi="Calibri" w:cs="Calibri"/>
              </w:rPr>
            </w:pPr>
            <w:r>
              <w:rPr>
                <w:rFonts w:ascii="Calibri" w:hAnsi="Calibri"/>
              </w:rPr>
              <w:t xml:space="preserve">(d) mishi dhe eshtrat </w:t>
            </w:r>
          </w:p>
          <w:p w14:paraId="2E2FFCEB" w14:textId="77777777" w:rsidR="00A7659D" w:rsidRPr="0033055B" w:rsidRDefault="00A7659D" w:rsidP="00A7659D">
            <w:pPr>
              <w:autoSpaceDE w:val="0"/>
              <w:spacing w:after="0" w:line="240" w:lineRule="auto"/>
              <w:jc w:val="both"/>
              <w:rPr>
                <w:rFonts w:ascii="Calibri" w:hAnsi="Calibri" w:cs="Calibri"/>
              </w:rPr>
            </w:pPr>
            <w:r>
              <w:rPr>
                <w:rFonts w:ascii="Calibri" w:hAnsi="Calibri"/>
              </w:rPr>
              <w:t>(e) nus-produktet e koksit (përfshirë koksin e farave dhe të vajit të ullirit për energji)</w:t>
            </w:r>
          </w:p>
          <w:p w14:paraId="02068E88" w14:textId="77777777" w:rsidR="00A7659D" w:rsidRPr="0033055B" w:rsidRDefault="00A7659D" w:rsidP="00A7659D">
            <w:pPr>
              <w:autoSpaceDE w:val="0"/>
              <w:spacing w:after="0" w:line="240" w:lineRule="auto"/>
              <w:jc w:val="both"/>
              <w:rPr>
                <w:rFonts w:ascii="Calibri" w:hAnsi="Calibri" w:cs="Calibri"/>
              </w:rPr>
            </w:pPr>
            <w:r>
              <w:rPr>
                <w:rFonts w:ascii="Calibri" w:hAnsi="Calibri"/>
              </w:rPr>
              <w:t xml:space="preserve">(f) biomasa e frutave (përfshirë bërthamat, lëvozhgat) </w:t>
            </w:r>
          </w:p>
          <w:p w14:paraId="5096A2A4" w14:textId="77777777" w:rsidR="00A7659D" w:rsidRPr="0033055B" w:rsidRDefault="00A7659D" w:rsidP="00A7659D">
            <w:pPr>
              <w:autoSpaceDE w:val="0"/>
              <w:spacing w:after="0" w:line="240" w:lineRule="auto"/>
              <w:jc w:val="both"/>
              <w:rPr>
                <w:rFonts w:ascii="Calibri" w:hAnsi="Calibri" w:cs="Calibri"/>
              </w:rPr>
            </w:pPr>
            <w:r>
              <w:rPr>
                <w:rFonts w:ascii="Calibri" w:hAnsi="Calibri"/>
              </w:rPr>
              <w:t xml:space="preserve">(g) nus-produktet e peshkatarisë </w:t>
            </w:r>
          </w:p>
          <w:p w14:paraId="3DEA4001" w14:textId="77777777" w:rsidR="00A7659D" w:rsidRPr="0033055B" w:rsidRDefault="00A7659D" w:rsidP="00A7659D">
            <w:pPr>
              <w:autoSpaceDE w:val="0"/>
              <w:spacing w:after="0" w:line="240" w:lineRule="auto"/>
              <w:jc w:val="both"/>
              <w:rPr>
                <w:rFonts w:ascii="Calibri" w:hAnsi="Calibri" w:cs="Calibri"/>
              </w:rPr>
            </w:pPr>
            <w:r>
              <w:rPr>
                <w:rFonts w:ascii="Calibri" w:hAnsi="Calibri"/>
              </w:rPr>
              <w:t xml:space="preserve">(h) copëzat nga vreshtat, ullinjtë, trungjet frutore </w:t>
            </w:r>
          </w:p>
          <w:p w14:paraId="5EA62959" w14:textId="77777777" w:rsidR="00A7659D" w:rsidRPr="0033055B" w:rsidRDefault="00A7659D" w:rsidP="00A7659D">
            <w:pPr>
              <w:autoSpaceDE w:val="0"/>
              <w:spacing w:after="0" w:line="240" w:lineRule="auto"/>
              <w:jc w:val="both"/>
              <w:rPr>
                <w:rFonts w:ascii="Calibri" w:hAnsi="Calibri" w:cs="Calibri"/>
                <w:i/>
              </w:rPr>
            </w:pPr>
            <w:r>
              <w:rPr>
                <w:rFonts w:ascii="Calibri" w:hAnsi="Calibri"/>
              </w:rPr>
              <w:t xml:space="preserve">(i) të tjera (defino): mbetjet nga mullinjtë e orizit </w:t>
            </w:r>
            <w:r>
              <w:rPr>
                <w:rFonts w:ascii="Calibri" w:hAnsi="Calibri"/>
                <w:bCs/>
              </w:rPr>
              <w:t>dhe tjerrtoret e pambukut</w:t>
            </w:r>
          </w:p>
        </w:tc>
        <w:tc>
          <w:tcPr>
            <w:tcW w:w="1080" w:type="dxa"/>
            <w:shd w:val="clear" w:color="auto" w:fill="FFFFFF" w:themeFill="background1"/>
            <w:vAlign w:val="center"/>
          </w:tcPr>
          <w:p w14:paraId="278D2402" w14:textId="77777777" w:rsidR="00A7659D" w:rsidRPr="0033055B" w:rsidRDefault="00A7659D" w:rsidP="00A7659D">
            <w:pPr>
              <w:autoSpaceDE w:val="0"/>
              <w:snapToGrid w:val="0"/>
              <w:spacing w:after="0" w:line="240" w:lineRule="auto"/>
              <w:jc w:val="both"/>
              <w:rPr>
                <w:rFonts w:ascii="Calibri" w:hAnsi="Calibri" w:cs="Calibri"/>
                <w:lang w:val="en-GB"/>
              </w:rPr>
            </w:pPr>
          </w:p>
        </w:tc>
        <w:tc>
          <w:tcPr>
            <w:tcW w:w="607" w:type="dxa"/>
            <w:shd w:val="clear" w:color="auto" w:fill="FFFFFF" w:themeFill="background1"/>
            <w:vAlign w:val="center"/>
          </w:tcPr>
          <w:p w14:paraId="6CAB310C" w14:textId="77777777" w:rsidR="00A7659D" w:rsidRPr="0033055B" w:rsidRDefault="00A7659D" w:rsidP="00A7659D">
            <w:pPr>
              <w:autoSpaceDE w:val="0"/>
              <w:snapToGrid w:val="0"/>
              <w:spacing w:after="0" w:line="240" w:lineRule="auto"/>
              <w:jc w:val="both"/>
              <w:rPr>
                <w:rFonts w:ascii="Calibri" w:hAnsi="Calibri" w:cs="Calibri"/>
                <w:lang w:val="en-GB"/>
              </w:rPr>
            </w:pPr>
          </w:p>
        </w:tc>
        <w:tc>
          <w:tcPr>
            <w:tcW w:w="697" w:type="dxa"/>
            <w:shd w:val="clear" w:color="auto" w:fill="FFFFFF" w:themeFill="background1"/>
            <w:vAlign w:val="center"/>
          </w:tcPr>
          <w:p w14:paraId="7E858EC5" w14:textId="77777777" w:rsidR="00A7659D" w:rsidRPr="0033055B" w:rsidRDefault="00A7659D" w:rsidP="00A7659D">
            <w:pPr>
              <w:autoSpaceDE w:val="0"/>
              <w:snapToGrid w:val="0"/>
              <w:spacing w:after="0" w:line="240" w:lineRule="auto"/>
              <w:jc w:val="both"/>
              <w:rPr>
                <w:rFonts w:ascii="Calibri" w:hAnsi="Calibri" w:cs="Calibri"/>
                <w:lang w:val="en-GB"/>
              </w:rPr>
            </w:pPr>
          </w:p>
        </w:tc>
        <w:tc>
          <w:tcPr>
            <w:tcW w:w="1092" w:type="dxa"/>
            <w:shd w:val="clear" w:color="auto" w:fill="FFFFFF" w:themeFill="background1"/>
            <w:vAlign w:val="center"/>
          </w:tcPr>
          <w:p w14:paraId="64C30DAE" w14:textId="77777777" w:rsidR="00A7659D" w:rsidRPr="0033055B" w:rsidRDefault="00A7659D" w:rsidP="00A7659D">
            <w:pPr>
              <w:autoSpaceDE w:val="0"/>
              <w:snapToGrid w:val="0"/>
              <w:spacing w:after="0" w:line="240" w:lineRule="auto"/>
              <w:jc w:val="both"/>
              <w:rPr>
                <w:rFonts w:ascii="Calibri" w:hAnsi="Calibri" w:cs="Calibri"/>
                <w:lang w:val="en-GB"/>
              </w:rPr>
            </w:pPr>
          </w:p>
        </w:tc>
        <w:tc>
          <w:tcPr>
            <w:tcW w:w="1080" w:type="dxa"/>
            <w:shd w:val="clear" w:color="auto" w:fill="FFFFFF" w:themeFill="background1"/>
            <w:vAlign w:val="center"/>
          </w:tcPr>
          <w:p w14:paraId="29F0BEA1" w14:textId="77777777" w:rsidR="00A7659D" w:rsidRPr="0033055B" w:rsidRDefault="00A7659D" w:rsidP="00A7659D">
            <w:pPr>
              <w:autoSpaceDE w:val="0"/>
              <w:snapToGrid w:val="0"/>
              <w:spacing w:after="0" w:line="240" w:lineRule="auto"/>
              <w:jc w:val="both"/>
              <w:rPr>
                <w:rFonts w:ascii="Calibri" w:hAnsi="Calibri" w:cs="Calibri"/>
                <w:lang w:val="en-GB"/>
              </w:rPr>
            </w:pPr>
          </w:p>
        </w:tc>
        <w:tc>
          <w:tcPr>
            <w:tcW w:w="1080" w:type="dxa"/>
            <w:shd w:val="clear" w:color="auto" w:fill="FFFFFF" w:themeFill="background1"/>
            <w:vAlign w:val="center"/>
          </w:tcPr>
          <w:p w14:paraId="13CDE7FB" w14:textId="77777777" w:rsidR="00A7659D" w:rsidRPr="0033055B" w:rsidRDefault="00A7659D" w:rsidP="00A7659D">
            <w:pPr>
              <w:autoSpaceDE w:val="0"/>
              <w:snapToGrid w:val="0"/>
              <w:spacing w:after="0" w:line="240" w:lineRule="auto"/>
              <w:jc w:val="both"/>
              <w:rPr>
                <w:rFonts w:ascii="Calibri" w:hAnsi="Calibri" w:cs="Calibri"/>
                <w:lang w:val="en-GB"/>
              </w:rPr>
            </w:pPr>
          </w:p>
        </w:tc>
      </w:tr>
      <w:tr w:rsidR="00A7659D" w:rsidRPr="0033055B" w14:paraId="13605F62" w14:textId="77777777" w:rsidTr="00172498">
        <w:trPr>
          <w:trHeight w:val="465"/>
        </w:trPr>
        <w:tc>
          <w:tcPr>
            <w:tcW w:w="1620" w:type="dxa"/>
            <w:vMerge w:val="restart"/>
            <w:shd w:val="clear" w:color="auto" w:fill="FFFFFF" w:themeFill="background1"/>
          </w:tcPr>
          <w:p w14:paraId="5C18645C" w14:textId="77777777" w:rsidR="00A7659D" w:rsidRPr="0033055B" w:rsidRDefault="00A7659D" w:rsidP="00A7659D">
            <w:pPr>
              <w:autoSpaceDE w:val="0"/>
              <w:snapToGrid w:val="0"/>
              <w:spacing w:after="0" w:line="240" w:lineRule="auto"/>
              <w:jc w:val="both"/>
              <w:rPr>
                <w:rFonts w:ascii="Calibri" w:hAnsi="Calibri" w:cs="Calibri"/>
                <w:b/>
                <w:lang w:val="en-GB"/>
              </w:rPr>
            </w:pPr>
          </w:p>
          <w:p w14:paraId="2ECF0B58" w14:textId="77777777" w:rsidR="00A7659D" w:rsidRPr="0033055B" w:rsidRDefault="00EB1E33" w:rsidP="00A7659D">
            <w:pPr>
              <w:autoSpaceDE w:val="0"/>
              <w:snapToGrid w:val="0"/>
              <w:spacing w:after="0" w:line="240" w:lineRule="auto"/>
              <w:jc w:val="both"/>
              <w:rPr>
                <w:rFonts w:ascii="Calibri" w:hAnsi="Calibri" w:cs="Calibri"/>
                <w:i/>
              </w:rPr>
            </w:pPr>
            <w:r>
              <w:rPr>
                <w:rFonts w:ascii="Calibri" w:hAnsi="Calibri"/>
                <w:b/>
              </w:rPr>
              <w:t>C) Biomasa nga mbeturinat:</w:t>
            </w:r>
          </w:p>
        </w:tc>
        <w:tc>
          <w:tcPr>
            <w:tcW w:w="3060" w:type="dxa"/>
            <w:shd w:val="clear" w:color="auto" w:fill="FFFFFF" w:themeFill="background1"/>
            <w:vAlign w:val="center"/>
          </w:tcPr>
          <w:p w14:paraId="57F2F45A" w14:textId="77777777" w:rsidR="00A7659D" w:rsidRPr="0033055B" w:rsidRDefault="00EB1E33" w:rsidP="00A7659D">
            <w:pPr>
              <w:autoSpaceDE w:val="0"/>
              <w:snapToGrid w:val="0"/>
              <w:spacing w:after="0" w:line="240" w:lineRule="auto"/>
              <w:jc w:val="both"/>
              <w:rPr>
                <w:rFonts w:ascii="Calibri" w:hAnsi="Calibri" w:cs="Calibri"/>
              </w:rPr>
            </w:pPr>
            <w:r>
              <w:rPr>
                <w:rFonts w:ascii="Calibri" w:hAnsi="Calibri"/>
                <w:i/>
              </w:rPr>
              <w:t>Nga të cilat:</w:t>
            </w:r>
          </w:p>
        </w:tc>
        <w:tc>
          <w:tcPr>
            <w:tcW w:w="1080" w:type="dxa"/>
            <w:shd w:val="clear" w:color="auto" w:fill="FFFFFF" w:themeFill="background1"/>
            <w:vAlign w:val="center"/>
          </w:tcPr>
          <w:p w14:paraId="1E95022E" w14:textId="77777777" w:rsidR="00A7659D" w:rsidRPr="0033055B" w:rsidRDefault="00A7659D" w:rsidP="00A7659D">
            <w:pPr>
              <w:autoSpaceDE w:val="0"/>
              <w:snapToGrid w:val="0"/>
              <w:spacing w:after="0" w:line="240" w:lineRule="auto"/>
              <w:jc w:val="both"/>
              <w:rPr>
                <w:rFonts w:ascii="Calibri" w:hAnsi="Calibri" w:cs="Calibri"/>
                <w:lang w:val="en-GB"/>
              </w:rPr>
            </w:pPr>
          </w:p>
        </w:tc>
        <w:tc>
          <w:tcPr>
            <w:tcW w:w="607" w:type="dxa"/>
            <w:shd w:val="clear" w:color="auto" w:fill="FFFFFF" w:themeFill="background1"/>
            <w:vAlign w:val="center"/>
          </w:tcPr>
          <w:p w14:paraId="55815E40" w14:textId="77777777" w:rsidR="00A7659D" w:rsidRPr="0033055B" w:rsidRDefault="00A7659D" w:rsidP="00A7659D">
            <w:pPr>
              <w:autoSpaceDE w:val="0"/>
              <w:snapToGrid w:val="0"/>
              <w:spacing w:after="0" w:line="240" w:lineRule="auto"/>
              <w:jc w:val="both"/>
              <w:rPr>
                <w:rFonts w:ascii="Calibri" w:hAnsi="Calibri" w:cs="Calibri"/>
                <w:lang w:val="en-GB"/>
              </w:rPr>
            </w:pPr>
          </w:p>
        </w:tc>
        <w:tc>
          <w:tcPr>
            <w:tcW w:w="697" w:type="dxa"/>
            <w:shd w:val="clear" w:color="auto" w:fill="FFFFFF" w:themeFill="background1"/>
            <w:vAlign w:val="center"/>
          </w:tcPr>
          <w:p w14:paraId="5F099849" w14:textId="77777777" w:rsidR="00A7659D" w:rsidRPr="0033055B" w:rsidRDefault="00A7659D" w:rsidP="00A7659D">
            <w:pPr>
              <w:autoSpaceDE w:val="0"/>
              <w:snapToGrid w:val="0"/>
              <w:spacing w:after="0" w:line="240" w:lineRule="auto"/>
              <w:jc w:val="both"/>
              <w:rPr>
                <w:rFonts w:ascii="Calibri" w:hAnsi="Calibri" w:cs="Calibri"/>
                <w:lang w:val="en-GB"/>
              </w:rPr>
            </w:pPr>
          </w:p>
        </w:tc>
        <w:tc>
          <w:tcPr>
            <w:tcW w:w="1092" w:type="dxa"/>
            <w:shd w:val="clear" w:color="auto" w:fill="FFFFFF" w:themeFill="background1"/>
            <w:vAlign w:val="center"/>
          </w:tcPr>
          <w:p w14:paraId="0E241CF6" w14:textId="77777777" w:rsidR="00A7659D" w:rsidRPr="0033055B" w:rsidRDefault="00A7659D" w:rsidP="00A7659D">
            <w:pPr>
              <w:autoSpaceDE w:val="0"/>
              <w:snapToGrid w:val="0"/>
              <w:spacing w:after="0" w:line="240" w:lineRule="auto"/>
              <w:jc w:val="both"/>
              <w:rPr>
                <w:rFonts w:ascii="Calibri" w:hAnsi="Calibri" w:cs="Calibri"/>
                <w:lang w:val="en-GB"/>
              </w:rPr>
            </w:pPr>
          </w:p>
        </w:tc>
        <w:tc>
          <w:tcPr>
            <w:tcW w:w="1080" w:type="dxa"/>
            <w:shd w:val="clear" w:color="auto" w:fill="FFFFFF" w:themeFill="background1"/>
            <w:vAlign w:val="center"/>
          </w:tcPr>
          <w:p w14:paraId="1A77C730" w14:textId="77777777" w:rsidR="00A7659D" w:rsidRPr="0033055B" w:rsidRDefault="00A7659D" w:rsidP="00A7659D">
            <w:pPr>
              <w:autoSpaceDE w:val="0"/>
              <w:snapToGrid w:val="0"/>
              <w:spacing w:after="0" w:line="240" w:lineRule="auto"/>
              <w:jc w:val="both"/>
              <w:rPr>
                <w:rFonts w:ascii="Calibri" w:hAnsi="Calibri" w:cs="Calibri"/>
                <w:lang w:val="en-GB"/>
              </w:rPr>
            </w:pPr>
          </w:p>
        </w:tc>
        <w:tc>
          <w:tcPr>
            <w:tcW w:w="1080" w:type="dxa"/>
            <w:shd w:val="clear" w:color="auto" w:fill="FFFFFF" w:themeFill="background1"/>
            <w:vAlign w:val="center"/>
          </w:tcPr>
          <w:p w14:paraId="00212A4C" w14:textId="77777777" w:rsidR="00A7659D" w:rsidRPr="0033055B" w:rsidRDefault="00A7659D" w:rsidP="00A7659D">
            <w:pPr>
              <w:autoSpaceDE w:val="0"/>
              <w:snapToGrid w:val="0"/>
              <w:spacing w:after="0" w:line="240" w:lineRule="auto"/>
              <w:jc w:val="both"/>
              <w:rPr>
                <w:rFonts w:ascii="Calibri" w:hAnsi="Calibri" w:cs="Calibri"/>
                <w:lang w:val="en-GB"/>
              </w:rPr>
            </w:pPr>
          </w:p>
        </w:tc>
      </w:tr>
      <w:tr w:rsidR="00A7659D" w:rsidRPr="0033055B" w14:paraId="1F62F266" w14:textId="77777777" w:rsidTr="00172498">
        <w:trPr>
          <w:trHeight w:val="1759"/>
        </w:trPr>
        <w:tc>
          <w:tcPr>
            <w:tcW w:w="1620" w:type="dxa"/>
            <w:vMerge/>
            <w:shd w:val="clear" w:color="auto" w:fill="FFFFFF" w:themeFill="background1"/>
            <w:vAlign w:val="center"/>
          </w:tcPr>
          <w:p w14:paraId="7337E7CD" w14:textId="77777777" w:rsidR="00A7659D" w:rsidRPr="0033055B" w:rsidRDefault="00A7659D" w:rsidP="00A7659D">
            <w:pPr>
              <w:spacing w:after="0" w:line="240" w:lineRule="auto"/>
              <w:rPr>
                <w:rFonts w:ascii="Calibri" w:hAnsi="Calibri" w:cs="Calibri"/>
                <w:lang w:val="en-GB"/>
              </w:rPr>
            </w:pPr>
          </w:p>
        </w:tc>
        <w:tc>
          <w:tcPr>
            <w:tcW w:w="3060" w:type="dxa"/>
            <w:shd w:val="clear" w:color="auto" w:fill="FFFFFF" w:themeFill="background1"/>
            <w:vAlign w:val="center"/>
          </w:tcPr>
          <w:p w14:paraId="42C48A55" w14:textId="77777777" w:rsidR="00A7659D" w:rsidRPr="0033055B" w:rsidRDefault="00A7659D" w:rsidP="00A7659D">
            <w:pPr>
              <w:autoSpaceDE w:val="0"/>
              <w:snapToGrid w:val="0"/>
              <w:spacing w:after="0" w:line="240" w:lineRule="auto"/>
              <w:jc w:val="both"/>
              <w:rPr>
                <w:rFonts w:ascii="Calibri" w:hAnsi="Calibri" w:cs="Calibri"/>
              </w:rPr>
            </w:pPr>
            <w:r>
              <w:rPr>
                <w:rFonts w:ascii="Calibri" w:hAnsi="Calibri"/>
                <w:b/>
              </w:rPr>
              <w:t>(1) Pjesa e bio-degradueshme nga mbeturinat e ngurta komunale, duke përfshirë bio-mbeturinat (mbetjet e bio-degradueshme të kopshteve dhe parqeve, mbetjet ushqimore dhe të kuzhinës nga familjet, restoranet, hotelieret, si dhe lokalet shitëse, si dhe mbetjet e krahasueshme nga fabrikat e përpunimit ushqimor) si dhe gazi nga deponitë e mbeturinave</w:t>
            </w:r>
          </w:p>
        </w:tc>
        <w:tc>
          <w:tcPr>
            <w:tcW w:w="1080" w:type="dxa"/>
            <w:shd w:val="clear" w:color="auto" w:fill="FFFFFF" w:themeFill="background1"/>
            <w:vAlign w:val="center"/>
          </w:tcPr>
          <w:p w14:paraId="08FBA949" w14:textId="77777777" w:rsidR="00A7659D" w:rsidRPr="0033055B" w:rsidRDefault="00A7659D" w:rsidP="00A7659D">
            <w:pPr>
              <w:autoSpaceDE w:val="0"/>
              <w:snapToGrid w:val="0"/>
              <w:spacing w:after="0" w:line="240" w:lineRule="auto"/>
              <w:jc w:val="both"/>
              <w:rPr>
                <w:rFonts w:ascii="Calibri" w:hAnsi="Calibri" w:cs="Calibri"/>
                <w:lang w:val="en-GB"/>
              </w:rPr>
            </w:pPr>
          </w:p>
        </w:tc>
        <w:tc>
          <w:tcPr>
            <w:tcW w:w="607" w:type="dxa"/>
            <w:shd w:val="clear" w:color="auto" w:fill="FFFFFF" w:themeFill="background1"/>
            <w:vAlign w:val="center"/>
          </w:tcPr>
          <w:p w14:paraId="399A1728" w14:textId="77777777" w:rsidR="00A7659D" w:rsidRPr="0033055B" w:rsidRDefault="00A7659D" w:rsidP="00A7659D">
            <w:pPr>
              <w:autoSpaceDE w:val="0"/>
              <w:snapToGrid w:val="0"/>
              <w:spacing w:after="0" w:line="240" w:lineRule="auto"/>
              <w:jc w:val="both"/>
              <w:rPr>
                <w:rFonts w:ascii="Calibri" w:hAnsi="Calibri" w:cs="Calibri"/>
                <w:lang w:val="en-GB"/>
              </w:rPr>
            </w:pPr>
          </w:p>
        </w:tc>
        <w:tc>
          <w:tcPr>
            <w:tcW w:w="697" w:type="dxa"/>
            <w:shd w:val="clear" w:color="auto" w:fill="FFFFFF" w:themeFill="background1"/>
            <w:vAlign w:val="center"/>
          </w:tcPr>
          <w:p w14:paraId="677737DD" w14:textId="77777777" w:rsidR="00A7659D" w:rsidRPr="0033055B" w:rsidRDefault="00A7659D" w:rsidP="00A7659D">
            <w:pPr>
              <w:autoSpaceDE w:val="0"/>
              <w:snapToGrid w:val="0"/>
              <w:spacing w:after="0" w:line="240" w:lineRule="auto"/>
              <w:jc w:val="both"/>
              <w:rPr>
                <w:rFonts w:ascii="Calibri" w:hAnsi="Calibri" w:cs="Calibri"/>
                <w:lang w:val="en-GB"/>
              </w:rPr>
            </w:pPr>
          </w:p>
        </w:tc>
        <w:tc>
          <w:tcPr>
            <w:tcW w:w="1092" w:type="dxa"/>
            <w:shd w:val="clear" w:color="auto" w:fill="FFFFFF" w:themeFill="background1"/>
            <w:vAlign w:val="center"/>
          </w:tcPr>
          <w:p w14:paraId="63A70D6C" w14:textId="77777777" w:rsidR="00A7659D" w:rsidRPr="0033055B" w:rsidRDefault="00A7659D" w:rsidP="00A7659D">
            <w:pPr>
              <w:autoSpaceDE w:val="0"/>
              <w:snapToGrid w:val="0"/>
              <w:spacing w:after="0" w:line="240" w:lineRule="auto"/>
              <w:jc w:val="both"/>
              <w:rPr>
                <w:rFonts w:ascii="Calibri" w:hAnsi="Calibri" w:cs="Calibri"/>
                <w:lang w:val="en-GB"/>
              </w:rPr>
            </w:pPr>
          </w:p>
        </w:tc>
        <w:tc>
          <w:tcPr>
            <w:tcW w:w="1080" w:type="dxa"/>
            <w:shd w:val="clear" w:color="auto" w:fill="FFFFFF" w:themeFill="background1"/>
            <w:vAlign w:val="center"/>
          </w:tcPr>
          <w:p w14:paraId="1ABAD6E8" w14:textId="77777777" w:rsidR="00A7659D" w:rsidRPr="0033055B" w:rsidRDefault="00A7659D" w:rsidP="00A7659D">
            <w:pPr>
              <w:autoSpaceDE w:val="0"/>
              <w:snapToGrid w:val="0"/>
              <w:spacing w:after="0" w:line="240" w:lineRule="auto"/>
              <w:jc w:val="center"/>
              <w:rPr>
                <w:rFonts w:ascii="Calibri" w:hAnsi="Calibri" w:cs="Calibri"/>
                <w:lang w:val="en-GB"/>
              </w:rPr>
            </w:pPr>
          </w:p>
        </w:tc>
        <w:tc>
          <w:tcPr>
            <w:tcW w:w="1080" w:type="dxa"/>
            <w:shd w:val="clear" w:color="auto" w:fill="FFFFFF" w:themeFill="background1"/>
            <w:vAlign w:val="center"/>
          </w:tcPr>
          <w:p w14:paraId="0CD340A0" w14:textId="77777777" w:rsidR="00A7659D" w:rsidRPr="0033055B" w:rsidRDefault="00A7659D" w:rsidP="00A7659D">
            <w:pPr>
              <w:autoSpaceDE w:val="0"/>
              <w:snapToGrid w:val="0"/>
              <w:spacing w:after="0" w:line="240" w:lineRule="auto"/>
              <w:jc w:val="both"/>
              <w:rPr>
                <w:rFonts w:ascii="Calibri" w:hAnsi="Calibri" w:cs="Calibri"/>
                <w:lang w:val="en-GB"/>
              </w:rPr>
            </w:pPr>
          </w:p>
        </w:tc>
      </w:tr>
      <w:tr w:rsidR="00A7659D" w:rsidRPr="0033055B" w14:paraId="6890E74C" w14:textId="77777777" w:rsidTr="00172498">
        <w:trPr>
          <w:trHeight w:val="854"/>
        </w:trPr>
        <w:tc>
          <w:tcPr>
            <w:tcW w:w="1620" w:type="dxa"/>
            <w:vMerge/>
            <w:shd w:val="clear" w:color="auto" w:fill="FFFFFF" w:themeFill="background1"/>
            <w:vAlign w:val="center"/>
          </w:tcPr>
          <w:p w14:paraId="31F9F657" w14:textId="77777777" w:rsidR="00A7659D" w:rsidRPr="0033055B" w:rsidRDefault="00A7659D" w:rsidP="00A7659D">
            <w:pPr>
              <w:spacing w:after="0" w:line="240" w:lineRule="auto"/>
              <w:rPr>
                <w:rFonts w:ascii="Calibri" w:hAnsi="Calibri" w:cs="Calibri"/>
                <w:lang w:val="en-GB"/>
              </w:rPr>
            </w:pPr>
          </w:p>
        </w:tc>
        <w:tc>
          <w:tcPr>
            <w:tcW w:w="3060" w:type="dxa"/>
            <w:shd w:val="clear" w:color="auto" w:fill="FFFFFF" w:themeFill="background1"/>
            <w:vAlign w:val="center"/>
          </w:tcPr>
          <w:p w14:paraId="5D6C45CA" w14:textId="77777777" w:rsidR="00A7659D" w:rsidRPr="0033055B" w:rsidRDefault="00A7659D" w:rsidP="00A7659D">
            <w:pPr>
              <w:autoSpaceDE w:val="0"/>
              <w:snapToGrid w:val="0"/>
              <w:spacing w:after="0" w:line="240" w:lineRule="auto"/>
              <w:jc w:val="both"/>
              <w:rPr>
                <w:rFonts w:ascii="Calibri" w:hAnsi="Calibri" w:cs="Calibri"/>
              </w:rPr>
            </w:pPr>
            <w:r>
              <w:rPr>
                <w:rFonts w:ascii="Calibri" w:hAnsi="Calibri"/>
                <w:b/>
              </w:rPr>
              <w:t>(2) Pjesa e bio-degradueshme nga mbeturinat industriale (përfshirë letrën, kartonin, paletat)</w:t>
            </w:r>
          </w:p>
        </w:tc>
        <w:tc>
          <w:tcPr>
            <w:tcW w:w="1080" w:type="dxa"/>
            <w:shd w:val="clear" w:color="auto" w:fill="FFFFFF" w:themeFill="background1"/>
            <w:vAlign w:val="center"/>
          </w:tcPr>
          <w:p w14:paraId="1DBE3C96" w14:textId="77777777" w:rsidR="00A7659D" w:rsidRPr="0033055B" w:rsidRDefault="00A7659D" w:rsidP="00A7659D">
            <w:pPr>
              <w:autoSpaceDE w:val="0"/>
              <w:snapToGrid w:val="0"/>
              <w:spacing w:after="0" w:line="240" w:lineRule="auto"/>
              <w:jc w:val="both"/>
              <w:rPr>
                <w:rFonts w:ascii="Calibri" w:hAnsi="Calibri" w:cs="Calibri"/>
                <w:lang w:val="en-GB"/>
              </w:rPr>
            </w:pPr>
          </w:p>
        </w:tc>
        <w:tc>
          <w:tcPr>
            <w:tcW w:w="607" w:type="dxa"/>
            <w:shd w:val="clear" w:color="auto" w:fill="FFFFFF" w:themeFill="background1"/>
            <w:vAlign w:val="center"/>
          </w:tcPr>
          <w:p w14:paraId="2627170B" w14:textId="77777777" w:rsidR="00A7659D" w:rsidRPr="0033055B" w:rsidRDefault="00A7659D" w:rsidP="00A7659D">
            <w:pPr>
              <w:autoSpaceDE w:val="0"/>
              <w:snapToGrid w:val="0"/>
              <w:spacing w:after="0" w:line="240" w:lineRule="auto"/>
              <w:jc w:val="both"/>
              <w:rPr>
                <w:rFonts w:ascii="Calibri" w:hAnsi="Calibri" w:cs="Calibri"/>
                <w:lang w:val="en-GB"/>
              </w:rPr>
            </w:pPr>
          </w:p>
        </w:tc>
        <w:tc>
          <w:tcPr>
            <w:tcW w:w="697" w:type="dxa"/>
            <w:shd w:val="clear" w:color="auto" w:fill="FFFFFF" w:themeFill="background1"/>
            <w:vAlign w:val="center"/>
          </w:tcPr>
          <w:p w14:paraId="44ABBE96" w14:textId="77777777" w:rsidR="00A7659D" w:rsidRPr="0033055B" w:rsidRDefault="00A7659D" w:rsidP="00A7659D">
            <w:pPr>
              <w:autoSpaceDE w:val="0"/>
              <w:snapToGrid w:val="0"/>
              <w:spacing w:after="0" w:line="240" w:lineRule="auto"/>
              <w:jc w:val="both"/>
              <w:rPr>
                <w:rFonts w:ascii="Calibri" w:hAnsi="Calibri" w:cs="Calibri"/>
                <w:lang w:val="en-GB"/>
              </w:rPr>
            </w:pPr>
          </w:p>
        </w:tc>
        <w:tc>
          <w:tcPr>
            <w:tcW w:w="1092" w:type="dxa"/>
            <w:shd w:val="clear" w:color="auto" w:fill="FFFFFF" w:themeFill="background1"/>
            <w:vAlign w:val="center"/>
          </w:tcPr>
          <w:p w14:paraId="0BBB662C" w14:textId="77777777" w:rsidR="00A7659D" w:rsidRPr="0033055B" w:rsidRDefault="00A7659D" w:rsidP="00A7659D">
            <w:pPr>
              <w:autoSpaceDE w:val="0"/>
              <w:snapToGrid w:val="0"/>
              <w:spacing w:after="0" w:line="240" w:lineRule="auto"/>
              <w:jc w:val="both"/>
              <w:rPr>
                <w:rFonts w:ascii="Calibri" w:hAnsi="Calibri" w:cs="Calibri"/>
                <w:lang w:val="en-GB"/>
              </w:rPr>
            </w:pPr>
          </w:p>
        </w:tc>
        <w:tc>
          <w:tcPr>
            <w:tcW w:w="1080" w:type="dxa"/>
            <w:shd w:val="clear" w:color="auto" w:fill="FFFFFF" w:themeFill="background1"/>
            <w:vAlign w:val="center"/>
          </w:tcPr>
          <w:p w14:paraId="2F4B6C1E" w14:textId="77777777" w:rsidR="00A7659D" w:rsidRPr="0033055B" w:rsidRDefault="00A7659D" w:rsidP="00A7659D">
            <w:pPr>
              <w:autoSpaceDE w:val="0"/>
              <w:snapToGrid w:val="0"/>
              <w:spacing w:after="0" w:line="240" w:lineRule="auto"/>
              <w:jc w:val="both"/>
              <w:rPr>
                <w:rFonts w:ascii="Calibri" w:hAnsi="Calibri" w:cs="Calibri"/>
                <w:lang w:val="en-GB"/>
              </w:rPr>
            </w:pPr>
          </w:p>
        </w:tc>
        <w:tc>
          <w:tcPr>
            <w:tcW w:w="1080" w:type="dxa"/>
            <w:shd w:val="clear" w:color="auto" w:fill="FFFFFF" w:themeFill="background1"/>
            <w:vAlign w:val="center"/>
          </w:tcPr>
          <w:p w14:paraId="7B7F9555" w14:textId="77777777" w:rsidR="00A7659D" w:rsidRPr="0033055B" w:rsidRDefault="00A7659D" w:rsidP="00A7659D">
            <w:pPr>
              <w:autoSpaceDE w:val="0"/>
              <w:snapToGrid w:val="0"/>
              <w:spacing w:after="0" w:line="240" w:lineRule="auto"/>
              <w:jc w:val="both"/>
              <w:rPr>
                <w:rFonts w:ascii="Calibri" w:hAnsi="Calibri" w:cs="Calibri"/>
                <w:lang w:val="en-GB"/>
              </w:rPr>
            </w:pPr>
          </w:p>
        </w:tc>
      </w:tr>
      <w:tr w:rsidR="00A7659D" w:rsidRPr="0033055B" w14:paraId="3C1989E8" w14:textId="77777777" w:rsidTr="00172498">
        <w:trPr>
          <w:trHeight w:val="571"/>
        </w:trPr>
        <w:tc>
          <w:tcPr>
            <w:tcW w:w="1620" w:type="dxa"/>
            <w:vMerge/>
            <w:shd w:val="clear" w:color="auto" w:fill="FFFFFF" w:themeFill="background1"/>
            <w:vAlign w:val="center"/>
          </w:tcPr>
          <w:p w14:paraId="1A062D8C" w14:textId="77777777" w:rsidR="00A7659D" w:rsidRPr="0033055B" w:rsidRDefault="00A7659D" w:rsidP="00A7659D">
            <w:pPr>
              <w:spacing w:after="0" w:line="240" w:lineRule="auto"/>
              <w:rPr>
                <w:rFonts w:ascii="Calibri" w:hAnsi="Calibri" w:cs="Calibri"/>
                <w:lang w:val="en-GB"/>
              </w:rPr>
            </w:pPr>
          </w:p>
        </w:tc>
        <w:tc>
          <w:tcPr>
            <w:tcW w:w="3060" w:type="dxa"/>
            <w:shd w:val="clear" w:color="auto" w:fill="FFFFFF" w:themeFill="background1"/>
            <w:vAlign w:val="center"/>
          </w:tcPr>
          <w:p w14:paraId="7A0E0CA7" w14:textId="77777777" w:rsidR="00A7659D" w:rsidRPr="0033055B" w:rsidRDefault="00EB1E33" w:rsidP="00A7659D">
            <w:pPr>
              <w:autoSpaceDE w:val="0"/>
              <w:snapToGrid w:val="0"/>
              <w:spacing w:after="0" w:line="240" w:lineRule="auto"/>
              <w:jc w:val="both"/>
              <w:rPr>
                <w:rFonts w:ascii="Calibri" w:hAnsi="Calibri" w:cs="Calibri"/>
              </w:rPr>
            </w:pPr>
            <w:r>
              <w:rPr>
                <w:rFonts w:ascii="Calibri" w:hAnsi="Calibri"/>
                <w:b/>
              </w:rPr>
              <w:t xml:space="preserve">(3) Zgjyra e kanalizimit  </w:t>
            </w:r>
          </w:p>
        </w:tc>
        <w:tc>
          <w:tcPr>
            <w:tcW w:w="1080" w:type="dxa"/>
            <w:shd w:val="clear" w:color="auto" w:fill="FFFFFF" w:themeFill="background1"/>
            <w:vAlign w:val="center"/>
          </w:tcPr>
          <w:p w14:paraId="080856BC" w14:textId="77777777" w:rsidR="00A7659D" w:rsidRPr="0033055B" w:rsidRDefault="00A7659D" w:rsidP="00A7659D">
            <w:pPr>
              <w:autoSpaceDE w:val="0"/>
              <w:snapToGrid w:val="0"/>
              <w:spacing w:after="0" w:line="240" w:lineRule="auto"/>
              <w:jc w:val="both"/>
              <w:rPr>
                <w:rFonts w:ascii="Calibri" w:hAnsi="Calibri" w:cs="Calibri"/>
                <w:lang w:val="en-GB"/>
              </w:rPr>
            </w:pPr>
          </w:p>
        </w:tc>
        <w:tc>
          <w:tcPr>
            <w:tcW w:w="607" w:type="dxa"/>
            <w:shd w:val="clear" w:color="auto" w:fill="FFFFFF" w:themeFill="background1"/>
            <w:vAlign w:val="center"/>
          </w:tcPr>
          <w:p w14:paraId="42F42BB6" w14:textId="77777777" w:rsidR="00A7659D" w:rsidRPr="0033055B" w:rsidRDefault="00A7659D" w:rsidP="00A7659D">
            <w:pPr>
              <w:autoSpaceDE w:val="0"/>
              <w:snapToGrid w:val="0"/>
              <w:spacing w:after="0" w:line="240" w:lineRule="auto"/>
              <w:jc w:val="both"/>
              <w:rPr>
                <w:rFonts w:ascii="Calibri" w:hAnsi="Calibri" w:cs="Calibri"/>
                <w:lang w:val="en-GB"/>
              </w:rPr>
            </w:pPr>
          </w:p>
        </w:tc>
        <w:tc>
          <w:tcPr>
            <w:tcW w:w="697" w:type="dxa"/>
            <w:shd w:val="clear" w:color="auto" w:fill="FFFFFF" w:themeFill="background1"/>
            <w:vAlign w:val="center"/>
          </w:tcPr>
          <w:p w14:paraId="2C3DAE8C" w14:textId="77777777" w:rsidR="00A7659D" w:rsidRPr="0033055B" w:rsidRDefault="00A7659D" w:rsidP="00A7659D">
            <w:pPr>
              <w:autoSpaceDE w:val="0"/>
              <w:snapToGrid w:val="0"/>
              <w:spacing w:after="0" w:line="240" w:lineRule="auto"/>
              <w:jc w:val="both"/>
              <w:rPr>
                <w:rFonts w:ascii="Calibri" w:hAnsi="Calibri" w:cs="Calibri"/>
                <w:lang w:val="en-GB"/>
              </w:rPr>
            </w:pPr>
          </w:p>
        </w:tc>
        <w:tc>
          <w:tcPr>
            <w:tcW w:w="1092" w:type="dxa"/>
            <w:shd w:val="clear" w:color="auto" w:fill="FFFFFF" w:themeFill="background1"/>
            <w:vAlign w:val="center"/>
          </w:tcPr>
          <w:p w14:paraId="555E0AFF" w14:textId="77777777" w:rsidR="00A7659D" w:rsidRPr="0033055B" w:rsidRDefault="00A7659D" w:rsidP="00A7659D">
            <w:pPr>
              <w:autoSpaceDE w:val="0"/>
              <w:snapToGrid w:val="0"/>
              <w:spacing w:after="0" w:line="240" w:lineRule="auto"/>
              <w:jc w:val="both"/>
              <w:rPr>
                <w:rFonts w:ascii="Calibri" w:hAnsi="Calibri" w:cs="Calibri"/>
                <w:lang w:val="en-GB"/>
              </w:rPr>
            </w:pPr>
          </w:p>
        </w:tc>
        <w:tc>
          <w:tcPr>
            <w:tcW w:w="1080" w:type="dxa"/>
            <w:shd w:val="clear" w:color="auto" w:fill="FFFFFF" w:themeFill="background1"/>
            <w:vAlign w:val="center"/>
          </w:tcPr>
          <w:p w14:paraId="13D8C62F" w14:textId="77777777" w:rsidR="00A7659D" w:rsidRPr="0033055B" w:rsidRDefault="00A7659D" w:rsidP="00A7659D">
            <w:pPr>
              <w:autoSpaceDE w:val="0"/>
              <w:snapToGrid w:val="0"/>
              <w:spacing w:after="0" w:line="240" w:lineRule="auto"/>
              <w:jc w:val="both"/>
              <w:rPr>
                <w:rFonts w:ascii="Calibri" w:hAnsi="Calibri" w:cs="Calibri"/>
                <w:lang w:val="en-GB"/>
              </w:rPr>
            </w:pPr>
          </w:p>
        </w:tc>
        <w:tc>
          <w:tcPr>
            <w:tcW w:w="1080" w:type="dxa"/>
            <w:shd w:val="clear" w:color="auto" w:fill="FFFFFF" w:themeFill="background1"/>
            <w:vAlign w:val="center"/>
          </w:tcPr>
          <w:p w14:paraId="7E37C1FA" w14:textId="77777777" w:rsidR="00A7659D" w:rsidRPr="0033055B" w:rsidRDefault="00A7659D" w:rsidP="00A7659D">
            <w:pPr>
              <w:autoSpaceDE w:val="0"/>
              <w:snapToGrid w:val="0"/>
              <w:spacing w:after="0" w:line="240" w:lineRule="auto"/>
              <w:jc w:val="both"/>
              <w:rPr>
                <w:rFonts w:ascii="Calibri" w:hAnsi="Calibri" w:cs="Calibri"/>
                <w:lang w:val="en-GB"/>
              </w:rPr>
            </w:pPr>
          </w:p>
        </w:tc>
      </w:tr>
    </w:tbl>
    <w:p w14:paraId="3ACC6D50" w14:textId="77777777" w:rsidR="00A7659D" w:rsidRPr="0033055B" w:rsidRDefault="00A7659D" w:rsidP="00A7659D">
      <w:pPr>
        <w:spacing w:before="120" w:after="120" w:line="240" w:lineRule="auto"/>
        <w:jc w:val="both"/>
        <w:rPr>
          <w:rFonts w:cstheme="minorHAnsi"/>
          <w:lang w:val="en-GB"/>
        </w:rPr>
      </w:pPr>
    </w:p>
    <w:p w14:paraId="4F8A5C58" w14:textId="7FBECD44" w:rsidR="00A7659D" w:rsidRPr="0033055B" w:rsidRDefault="00EB1E33" w:rsidP="00FF07DC">
      <w:pPr>
        <w:spacing w:before="120" w:after="120" w:line="240" w:lineRule="auto"/>
        <w:jc w:val="center"/>
        <w:rPr>
          <w:rFonts w:cstheme="minorHAnsi"/>
          <w:b/>
        </w:rPr>
      </w:pPr>
      <w:bookmarkStart w:id="34" w:name="_Toc518377705"/>
      <w:r>
        <w:rPr>
          <w:rFonts w:ascii="Calibri" w:hAnsi="Calibri"/>
          <w:b/>
          <w:iCs/>
        </w:rPr>
        <w:t xml:space="preserve">Tabela </w:t>
      </w:r>
      <w:r w:rsidR="00724C64" w:rsidRPr="00EB1E33">
        <w:rPr>
          <w:rFonts w:ascii="Calibri" w:eastAsia="Calibri" w:hAnsi="Calibri"/>
          <w:b/>
          <w:iCs/>
        </w:rPr>
        <w:fldChar w:fldCharType="begin"/>
      </w:r>
      <w:r w:rsidRPr="00EB1E33">
        <w:rPr>
          <w:rFonts w:ascii="Calibri" w:eastAsia="Calibri" w:hAnsi="Calibri"/>
          <w:b/>
          <w:iCs/>
        </w:rPr>
        <w:instrText xml:space="preserve"> SEQ Table \* ARABIC </w:instrText>
      </w:r>
      <w:r w:rsidR="00724C64" w:rsidRPr="00EB1E33">
        <w:rPr>
          <w:rFonts w:ascii="Calibri" w:eastAsia="Calibri" w:hAnsi="Calibri"/>
          <w:b/>
          <w:iCs/>
        </w:rPr>
        <w:fldChar w:fldCharType="separate"/>
      </w:r>
      <w:r w:rsidR="00DC4741">
        <w:rPr>
          <w:rFonts w:ascii="Calibri" w:eastAsia="Calibri" w:hAnsi="Calibri"/>
          <w:b/>
          <w:iCs/>
          <w:noProof/>
        </w:rPr>
        <w:t>13</w:t>
      </w:r>
      <w:r w:rsidR="00724C64" w:rsidRPr="00EB1E33">
        <w:rPr>
          <w:rFonts w:ascii="Calibri" w:eastAsia="Calibri" w:hAnsi="Calibri"/>
          <w:b/>
          <w:iCs/>
        </w:rPr>
        <w:fldChar w:fldCharType="end"/>
      </w:r>
      <w:r w:rsidR="002D4C1B">
        <w:rPr>
          <w:b/>
        </w:rPr>
        <w:t>: F</w:t>
      </w:r>
      <w:r>
        <w:rPr>
          <w:b/>
        </w:rPr>
        <w:t>urnizimi i vlerësuar vendor i biomasës më 2015 dhe 2020.</w:t>
      </w:r>
      <w:bookmarkEnd w:id="34"/>
    </w:p>
    <w:tbl>
      <w:tblPr>
        <w:tblW w:w="9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1301"/>
        <w:gridCol w:w="3995"/>
        <w:gridCol w:w="12"/>
        <w:gridCol w:w="1100"/>
        <w:gridCol w:w="9"/>
        <w:gridCol w:w="1103"/>
        <w:gridCol w:w="6"/>
        <w:gridCol w:w="12"/>
        <w:gridCol w:w="1139"/>
        <w:gridCol w:w="965"/>
      </w:tblGrid>
      <w:tr w:rsidR="00A7659D" w:rsidRPr="0033055B" w14:paraId="1072FB48" w14:textId="77777777" w:rsidTr="00FF07DC">
        <w:trPr>
          <w:trHeight w:val="382"/>
          <w:jc w:val="center"/>
        </w:trPr>
        <w:tc>
          <w:tcPr>
            <w:tcW w:w="1301" w:type="dxa"/>
            <w:vMerge w:val="restart"/>
            <w:shd w:val="clear" w:color="auto" w:fill="D9D9D9" w:themeFill="background1" w:themeFillShade="D9"/>
            <w:vAlign w:val="center"/>
          </w:tcPr>
          <w:p w14:paraId="0A058459" w14:textId="77777777" w:rsidR="00A7659D" w:rsidRPr="00E565CD" w:rsidRDefault="00EB1E33" w:rsidP="00E565CD">
            <w:pPr>
              <w:rPr>
                <w:b/>
              </w:rPr>
            </w:pPr>
            <w:r>
              <w:rPr>
                <w:b/>
              </w:rPr>
              <w:t>Sektori i prejardhjes</w:t>
            </w:r>
          </w:p>
        </w:tc>
        <w:tc>
          <w:tcPr>
            <w:tcW w:w="4007" w:type="dxa"/>
            <w:gridSpan w:val="2"/>
            <w:vMerge w:val="restart"/>
            <w:shd w:val="clear" w:color="auto" w:fill="D9D9D9" w:themeFill="background1" w:themeFillShade="D9"/>
            <w:vAlign w:val="center"/>
          </w:tcPr>
          <w:p w14:paraId="10B2FEC9" w14:textId="77777777" w:rsidR="00A7659D" w:rsidRPr="0033055B" w:rsidRDefault="00A7659D" w:rsidP="00FF07DC">
            <w:pPr>
              <w:autoSpaceDE w:val="0"/>
              <w:snapToGrid w:val="0"/>
              <w:spacing w:after="0" w:line="240" w:lineRule="auto"/>
              <w:jc w:val="center"/>
              <w:rPr>
                <w:rFonts w:cstheme="minorHAnsi"/>
                <w:b/>
                <w:lang w:val="en-GB"/>
              </w:rPr>
            </w:pPr>
          </w:p>
        </w:tc>
        <w:tc>
          <w:tcPr>
            <w:tcW w:w="2230" w:type="dxa"/>
            <w:gridSpan w:val="5"/>
            <w:shd w:val="clear" w:color="auto" w:fill="D9D9D9" w:themeFill="background1" w:themeFillShade="D9"/>
            <w:vAlign w:val="center"/>
          </w:tcPr>
          <w:p w14:paraId="3DE51E31" w14:textId="77777777" w:rsidR="00A7659D" w:rsidRPr="0033055B" w:rsidRDefault="00EB1E33" w:rsidP="00FF07DC">
            <w:pPr>
              <w:autoSpaceDE w:val="0"/>
              <w:snapToGrid w:val="0"/>
              <w:spacing w:after="0" w:line="240" w:lineRule="auto"/>
              <w:jc w:val="center"/>
              <w:rPr>
                <w:rFonts w:cstheme="minorHAnsi"/>
                <w:b/>
              </w:rPr>
            </w:pPr>
            <w:r>
              <w:rPr>
                <w:b/>
              </w:rPr>
              <w:t>2015</w:t>
            </w:r>
          </w:p>
        </w:tc>
        <w:tc>
          <w:tcPr>
            <w:tcW w:w="2104" w:type="dxa"/>
            <w:gridSpan w:val="2"/>
            <w:shd w:val="clear" w:color="auto" w:fill="D9D9D9" w:themeFill="background1" w:themeFillShade="D9"/>
            <w:vAlign w:val="center"/>
          </w:tcPr>
          <w:p w14:paraId="19C407FC" w14:textId="77777777" w:rsidR="00A7659D" w:rsidRPr="00E565CD" w:rsidRDefault="00EB1E33" w:rsidP="00E565CD">
            <w:pPr>
              <w:jc w:val="center"/>
              <w:rPr>
                <w:b/>
              </w:rPr>
            </w:pPr>
            <w:r>
              <w:rPr>
                <w:b/>
              </w:rPr>
              <w:t>2020</w:t>
            </w:r>
          </w:p>
        </w:tc>
      </w:tr>
      <w:tr w:rsidR="00FF07DC" w:rsidRPr="0033055B" w14:paraId="467C66E5" w14:textId="77777777" w:rsidTr="00FF07DC">
        <w:trPr>
          <w:trHeight w:val="144"/>
          <w:jc w:val="center"/>
        </w:trPr>
        <w:tc>
          <w:tcPr>
            <w:tcW w:w="1301" w:type="dxa"/>
            <w:vMerge/>
            <w:shd w:val="clear" w:color="auto" w:fill="D9D9D9" w:themeFill="background1" w:themeFillShade="D9"/>
            <w:vAlign w:val="center"/>
          </w:tcPr>
          <w:p w14:paraId="261EBD7E" w14:textId="77777777" w:rsidR="00A7659D" w:rsidRPr="0033055B" w:rsidRDefault="00A7659D" w:rsidP="00FF07DC">
            <w:pPr>
              <w:spacing w:after="0" w:line="240" w:lineRule="auto"/>
              <w:rPr>
                <w:rFonts w:cstheme="minorHAnsi"/>
                <w:lang w:val="en-GB"/>
              </w:rPr>
            </w:pPr>
          </w:p>
        </w:tc>
        <w:tc>
          <w:tcPr>
            <w:tcW w:w="4007" w:type="dxa"/>
            <w:gridSpan w:val="2"/>
            <w:vMerge/>
            <w:shd w:val="clear" w:color="auto" w:fill="D9D9D9" w:themeFill="background1" w:themeFillShade="D9"/>
            <w:vAlign w:val="center"/>
          </w:tcPr>
          <w:p w14:paraId="0458576E" w14:textId="77777777" w:rsidR="00A7659D" w:rsidRPr="0033055B" w:rsidRDefault="00A7659D" w:rsidP="00FF07DC">
            <w:pPr>
              <w:spacing w:after="0" w:line="240" w:lineRule="auto"/>
              <w:rPr>
                <w:rFonts w:cstheme="minorHAnsi"/>
                <w:lang w:val="en-GB"/>
              </w:rPr>
            </w:pPr>
          </w:p>
        </w:tc>
        <w:tc>
          <w:tcPr>
            <w:tcW w:w="1109" w:type="dxa"/>
            <w:gridSpan w:val="2"/>
            <w:shd w:val="clear" w:color="auto" w:fill="D9D9D9" w:themeFill="background1" w:themeFillShade="D9"/>
            <w:vAlign w:val="center"/>
          </w:tcPr>
          <w:p w14:paraId="4C1EC378" w14:textId="77777777" w:rsidR="00A7659D" w:rsidRPr="0033055B" w:rsidRDefault="00A7659D" w:rsidP="00FF07DC">
            <w:pPr>
              <w:autoSpaceDE w:val="0"/>
              <w:snapToGrid w:val="0"/>
              <w:spacing w:after="0" w:line="240" w:lineRule="auto"/>
              <w:jc w:val="center"/>
              <w:rPr>
                <w:rFonts w:cstheme="minorHAnsi"/>
                <w:b/>
              </w:rPr>
            </w:pPr>
            <w:r>
              <w:rPr>
                <w:b/>
              </w:rPr>
              <w:t>Sasia e pritur e burimit vendor</w:t>
            </w:r>
          </w:p>
        </w:tc>
        <w:tc>
          <w:tcPr>
            <w:tcW w:w="1109" w:type="dxa"/>
            <w:gridSpan w:val="2"/>
            <w:shd w:val="clear" w:color="auto" w:fill="D9D9D9" w:themeFill="background1" w:themeFillShade="D9"/>
            <w:vAlign w:val="center"/>
          </w:tcPr>
          <w:p w14:paraId="533DA863" w14:textId="77777777" w:rsidR="00A7659D" w:rsidRPr="0033055B" w:rsidRDefault="00EB1E33" w:rsidP="00FF07DC">
            <w:pPr>
              <w:autoSpaceDE w:val="0"/>
              <w:snapToGrid w:val="0"/>
              <w:spacing w:after="0" w:line="240" w:lineRule="auto"/>
              <w:jc w:val="center"/>
              <w:rPr>
                <w:rFonts w:cstheme="minorHAnsi"/>
                <w:b/>
              </w:rPr>
            </w:pPr>
            <w:r>
              <w:rPr>
                <w:b/>
              </w:rPr>
              <w:t xml:space="preserve">Prodhimi primar i energjisë </w:t>
            </w:r>
            <w:bookmarkStart w:id="35" w:name="_Ref290037109"/>
            <w:r w:rsidRPr="00EB1E33">
              <w:rPr>
                <w:rStyle w:val="FootnoteReference"/>
                <w:rFonts w:cstheme="minorHAnsi"/>
                <w:b/>
                <w:lang w:val="en-GB"/>
              </w:rPr>
              <w:footnoteReference w:id="22"/>
            </w:r>
            <w:bookmarkEnd w:id="35"/>
            <w:r>
              <w:rPr>
                <w:b/>
              </w:rPr>
              <w:t xml:space="preserve"> (ktoe)</w:t>
            </w:r>
          </w:p>
        </w:tc>
        <w:tc>
          <w:tcPr>
            <w:tcW w:w="1151" w:type="dxa"/>
            <w:gridSpan w:val="2"/>
            <w:shd w:val="clear" w:color="auto" w:fill="D9D9D9" w:themeFill="background1" w:themeFillShade="D9"/>
            <w:vAlign w:val="center"/>
          </w:tcPr>
          <w:p w14:paraId="7F71B6FA" w14:textId="77777777" w:rsidR="00A7659D" w:rsidRPr="0033055B" w:rsidRDefault="00A7659D" w:rsidP="00FF07DC">
            <w:pPr>
              <w:autoSpaceDE w:val="0"/>
              <w:snapToGrid w:val="0"/>
              <w:spacing w:after="0" w:line="240" w:lineRule="auto"/>
              <w:jc w:val="center"/>
              <w:rPr>
                <w:rFonts w:cstheme="minorHAnsi"/>
                <w:b/>
              </w:rPr>
            </w:pPr>
            <w:r>
              <w:rPr>
                <w:b/>
              </w:rPr>
              <w:t>Sasia e pritur e burimit vendor</w:t>
            </w:r>
          </w:p>
        </w:tc>
        <w:tc>
          <w:tcPr>
            <w:tcW w:w="965" w:type="dxa"/>
            <w:shd w:val="clear" w:color="auto" w:fill="D9D9D9" w:themeFill="background1" w:themeFillShade="D9"/>
            <w:vAlign w:val="center"/>
          </w:tcPr>
          <w:p w14:paraId="48858CEE" w14:textId="77777777" w:rsidR="00A7659D" w:rsidRPr="0033055B" w:rsidRDefault="00EB1E33" w:rsidP="00FF07DC">
            <w:pPr>
              <w:autoSpaceDE w:val="0"/>
              <w:snapToGrid w:val="0"/>
              <w:spacing w:after="0" w:line="240" w:lineRule="auto"/>
              <w:jc w:val="center"/>
              <w:rPr>
                <w:rFonts w:cstheme="minorHAnsi"/>
                <w:b/>
              </w:rPr>
            </w:pPr>
            <w:r>
              <w:rPr>
                <w:b/>
              </w:rPr>
              <w:t xml:space="preserve">Prodhimi primar i energjisë </w:t>
            </w:r>
            <w:r>
              <w:rPr>
                <w:b/>
                <w:vertAlign w:val="superscript"/>
              </w:rPr>
              <w:t>20</w:t>
            </w:r>
            <w:r>
              <w:rPr>
                <w:b/>
              </w:rPr>
              <w:t xml:space="preserve"> (ktoe) </w:t>
            </w:r>
          </w:p>
        </w:tc>
      </w:tr>
      <w:tr w:rsidR="00A7659D" w:rsidRPr="0033055B" w14:paraId="64849B43" w14:textId="77777777" w:rsidTr="00FF07DC">
        <w:trPr>
          <w:trHeight w:val="535"/>
          <w:jc w:val="center"/>
        </w:trPr>
        <w:tc>
          <w:tcPr>
            <w:tcW w:w="1301" w:type="dxa"/>
            <w:vMerge/>
            <w:shd w:val="clear" w:color="auto" w:fill="D9D9D9" w:themeFill="background1" w:themeFillShade="D9"/>
          </w:tcPr>
          <w:p w14:paraId="2D843044" w14:textId="77777777" w:rsidR="00A7659D" w:rsidRPr="0033055B" w:rsidRDefault="00A7659D" w:rsidP="00FF07DC">
            <w:pPr>
              <w:spacing w:after="0" w:line="240" w:lineRule="auto"/>
              <w:rPr>
                <w:rFonts w:cstheme="minorHAnsi"/>
                <w:lang w:val="en-GB"/>
              </w:rPr>
            </w:pPr>
          </w:p>
        </w:tc>
        <w:tc>
          <w:tcPr>
            <w:tcW w:w="4007" w:type="dxa"/>
            <w:gridSpan w:val="2"/>
            <w:shd w:val="clear" w:color="auto" w:fill="FFFFFF" w:themeFill="background1"/>
          </w:tcPr>
          <w:p w14:paraId="433C68B6" w14:textId="77777777" w:rsidR="00A7659D" w:rsidRPr="0033055B" w:rsidRDefault="00A7659D" w:rsidP="00FF07DC">
            <w:pPr>
              <w:autoSpaceDE w:val="0"/>
              <w:spacing w:after="0" w:line="240" w:lineRule="auto"/>
              <w:jc w:val="both"/>
              <w:rPr>
                <w:rFonts w:cstheme="minorHAnsi"/>
                <w:b/>
                <w:lang w:val="en-GB"/>
              </w:rPr>
            </w:pPr>
          </w:p>
          <w:p w14:paraId="7F89D6F2" w14:textId="77777777" w:rsidR="00A7659D" w:rsidRPr="0033055B" w:rsidRDefault="00A7659D" w:rsidP="00FF07DC">
            <w:pPr>
              <w:autoSpaceDE w:val="0"/>
              <w:spacing w:after="0" w:line="240" w:lineRule="auto"/>
              <w:jc w:val="both"/>
              <w:rPr>
                <w:rFonts w:cstheme="minorHAnsi"/>
                <w:b/>
                <w:i/>
              </w:rPr>
            </w:pPr>
            <w:r>
              <w:rPr>
                <w:b/>
              </w:rPr>
              <w:t>(1) furnizimi direkt i biomasës drusore nga pyjet dhe tokat tjera pyjore për prodhim të energjisë</w:t>
            </w:r>
          </w:p>
        </w:tc>
        <w:tc>
          <w:tcPr>
            <w:tcW w:w="1109" w:type="dxa"/>
            <w:gridSpan w:val="2"/>
            <w:shd w:val="clear" w:color="auto" w:fill="FFFFFF" w:themeFill="background1"/>
            <w:vAlign w:val="center"/>
          </w:tcPr>
          <w:p w14:paraId="6607F108" w14:textId="77777777" w:rsidR="00A7659D" w:rsidRPr="0033055B" w:rsidRDefault="00EB1E33" w:rsidP="00FF07DC">
            <w:pPr>
              <w:autoSpaceDE w:val="0"/>
              <w:snapToGrid w:val="0"/>
              <w:spacing w:after="0" w:line="240" w:lineRule="auto"/>
              <w:jc w:val="center"/>
              <w:rPr>
                <w:rFonts w:cstheme="minorHAnsi"/>
              </w:rPr>
            </w:pPr>
            <w:r>
              <w:t>Sasia totale e drurit supozohet të jetë 660574.62 m3 stivosur</w:t>
            </w:r>
          </w:p>
        </w:tc>
        <w:tc>
          <w:tcPr>
            <w:tcW w:w="1109" w:type="dxa"/>
            <w:gridSpan w:val="2"/>
            <w:shd w:val="clear" w:color="auto" w:fill="FFFFFF" w:themeFill="background1"/>
            <w:vAlign w:val="center"/>
          </w:tcPr>
          <w:p w14:paraId="59B6A821" w14:textId="77777777" w:rsidR="00A7659D" w:rsidRPr="0033055B" w:rsidRDefault="00EB1E33" w:rsidP="00FF07DC">
            <w:pPr>
              <w:autoSpaceDE w:val="0"/>
              <w:snapToGrid w:val="0"/>
              <w:spacing w:after="0" w:line="240" w:lineRule="auto"/>
              <w:jc w:val="center"/>
              <w:rPr>
                <w:rFonts w:cstheme="minorHAnsi"/>
              </w:rPr>
            </w:pPr>
            <w:r>
              <w:t>80.6 ktoe</w:t>
            </w:r>
          </w:p>
        </w:tc>
        <w:tc>
          <w:tcPr>
            <w:tcW w:w="1151" w:type="dxa"/>
            <w:gridSpan w:val="2"/>
            <w:shd w:val="clear" w:color="auto" w:fill="FFFFFF" w:themeFill="background1"/>
            <w:vAlign w:val="center"/>
          </w:tcPr>
          <w:p w14:paraId="4F5CED3A" w14:textId="77777777" w:rsidR="00A7659D" w:rsidRPr="0033055B" w:rsidRDefault="00EB1E33" w:rsidP="00FF07DC">
            <w:pPr>
              <w:autoSpaceDE w:val="0"/>
              <w:snapToGrid w:val="0"/>
              <w:spacing w:after="0" w:line="240" w:lineRule="auto"/>
              <w:jc w:val="center"/>
              <w:rPr>
                <w:rFonts w:cstheme="minorHAnsi"/>
              </w:rPr>
            </w:pPr>
            <w:r>
              <w:t>Sasia totale e drurit supozohet të jetë 689213.26 m3 stivosur</w:t>
            </w:r>
          </w:p>
        </w:tc>
        <w:tc>
          <w:tcPr>
            <w:tcW w:w="965" w:type="dxa"/>
            <w:shd w:val="clear" w:color="auto" w:fill="FFFFFF" w:themeFill="background1"/>
            <w:vAlign w:val="center"/>
          </w:tcPr>
          <w:p w14:paraId="3B05B1D9" w14:textId="77777777" w:rsidR="00A7659D" w:rsidRPr="0033055B" w:rsidRDefault="00EB1E33" w:rsidP="00FF07DC">
            <w:pPr>
              <w:autoSpaceDE w:val="0"/>
              <w:snapToGrid w:val="0"/>
              <w:spacing w:after="0" w:line="240" w:lineRule="auto"/>
              <w:jc w:val="center"/>
              <w:rPr>
                <w:rFonts w:cstheme="minorHAnsi"/>
              </w:rPr>
            </w:pPr>
            <w:r>
              <w:t>83.96 ktoe</w:t>
            </w:r>
          </w:p>
        </w:tc>
      </w:tr>
      <w:tr w:rsidR="00A7659D" w:rsidRPr="0033055B" w14:paraId="41A745DF" w14:textId="77777777" w:rsidTr="00FF07DC">
        <w:trPr>
          <w:trHeight w:val="695"/>
          <w:jc w:val="center"/>
        </w:trPr>
        <w:tc>
          <w:tcPr>
            <w:tcW w:w="1301" w:type="dxa"/>
            <w:vMerge/>
            <w:shd w:val="clear" w:color="auto" w:fill="D9D9D9" w:themeFill="background1" w:themeFillShade="D9"/>
          </w:tcPr>
          <w:p w14:paraId="4E45337A" w14:textId="77777777" w:rsidR="00A7659D" w:rsidRPr="0033055B" w:rsidRDefault="00A7659D" w:rsidP="00FF07DC">
            <w:pPr>
              <w:spacing w:after="0" w:line="240" w:lineRule="auto"/>
              <w:rPr>
                <w:rFonts w:cstheme="minorHAnsi"/>
                <w:lang w:val="en-GB"/>
              </w:rPr>
            </w:pPr>
          </w:p>
        </w:tc>
        <w:tc>
          <w:tcPr>
            <w:tcW w:w="4007" w:type="dxa"/>
            <w:gridSpan w:val="2"/>
            <w:shd w:val="clear" w:color="auto" w:fill="FFFFFF" w:themeFill="background1"/>
          </w:tcPr>
          <w:p w14:paraId="4FD4BCDD" w14:textId="77777777" w:rsidR="00A7659D" w:rsidRPr="0033055B" w:rsidRDefault="00A7659D" w:rsidP="00FF07DC">
            <w:pPr>
              <w:autoSpaceDE w:val="0"/>
              <w:spacing w:after="0" w:line="240" w:lineRule="auto"/>
              <w:jc w:val="both"/>
              <w:rPr>
                <w:rFonts w:cstheme="minorHAnsi"/>
                <w:b/>
                <w:lang w:val="en-GB"/>
              </w:rPr>
            </w:pPr>
          </w:p>
          <w:p w14:paraId="2F5E598E" w14:textId="77777777" w:rsidR="00A7659D" w:rsidRPr="0033055B" w:rsidRDefault="00A7659D" w:rsidP="00FF07DC">
            <w:pPr>
              <w:autoSpaceDE w:val="0"/>
              <w:spacing w:after="0" w:line="240" w:lineRule="auto"/>
              <w:jc w:val="both"/>
              <w:rPr>
                <w:rFonts w:cstheme="minorHAnsi"/>
                <w:b/>
                <w:i/>
              </w:rPr>
            </w:pPr>
            <w:r>
              <w:rPr>
                <w:b/>
              </w:rPr>
              <w:t xml:space="preserve">(2) furnizimi indirekt i biomasës drusore nga pyjet dhe tokat tjera pyjore për prodhim të energjisë </w:t>
            </w:r>
          </w:p>
        </w:tc>
        <w:tc>
          <w:tcPr>
            <w:tcW w:w="1109" w:type="dxa"/>
            <w:gridSpan w:val="2"/>
            <w:shd w:val="clear" w:color="auto" w:fill="FFFFFF" w:themeFill="background1"/>
            <w:vAlign w:val="center"/>
          </w:tcPr>
          <w:p w14:paraId="519E6C4F" w14:textId="77777777" w:rsidR="00A7659D" w:rsidRPr="0033055B" w:rsidRDefault="00A7659D" w:rsidP="00FF07DC">
            <w:pPr>
              <w:autoSpaceDE w:val="0"/>
              <w:snapToGrid w:val="0"/>
              <w:spacing w:after="0" w:line="240" w:lineRule="auto"/>
              <w:jc w:val="center"/>
              <w:rPr>
                <w:rFonts w:cstheme="minorHAnsi"/>
                <w:lang w:val="en-GB"/>
              </w:rPr>
            </w:pPr>
          </w:p>
        </w:tc>
        <w:tc>
          <w:tcPr>
            <w:tcW w:w="1109" w:type="dxa"/>
            <w:gridSpan w:val="2"/>
            <w:shd w:val="clear" w:color="auto" w:fill="FFFFFF" w:themeFill="background1"/>
            <w:vAlign w:val="center"/>
          </w:tcPr>
          <w:p w14:paraId="45ADF6BA" w14:textId="77777777" w:rsidR="00A7659D" w:rsidRPr="0033055B" w:rsidRDefault="00A7659D" w:rsidP="00FF07DC">
            <w:pPr>
              <w:spacing w:after="0" w:line="240" w:lineRule="auto"/>
              <w:jc w:val="center"/>
              <w:rPr>
                <w:rFonts w:cstheme="minorHAnsi"/>
                <w:lang w:val="en-GB"/>
              </w:rPr>
            </w:pPr>
          </w:p>
        </w:tc>
        <w:tc>
          <w:tcPr>
            <w:tcW w:w="1151" w:type="dxa"/>
            <w:gridSpan w:val="2"/>
            <w:shd w:val="clear" w:color="auto" w:fill="FFFFFF" w:themeFill="background1"/>
            <w:vAlign w:val="center"/>
          </w:tcPr>
          <w:p w14:paraId="3DDF2A37" w14:textId="77777777" w:rsidR="00A7659D" w:rsidRPr="0033055B" w:rsidRDefault="00A7659D" w:rsidP="00FF07DC">
            <w:pPr>
              <w:spacing w:after="0" w:line="240" w:lineRule="auto"/>
              <w:jc w:val="center"/>
              <w:rPr>
                <w:rFonts w:cstheme="minorHAnsi"/>
                <w:lang w:val="en-GB"/>
              </w:rPr>
            </w:pPr>
          </w:p>
        </w:tc>
        <w:tc>
          <w:tcPr>
            <w:tcW w:w="965" w:type="dxa"/>
            <w:shd w:val="clear" w:color="auto" w:fill="FFFFFF" w:themeFill="background1"/>
            <w:vAlign w:val="center"/>
          </w:tcPr>
          <w:p w14:paraId="3563685B" w14:textId="77777777" w:rsidR="00A7659D" w:rsidRPr="0033055B" w:rsidRDefault="00A7659D" w:rsidP="00FF07DC">
            <w:pPr>
              <w:spacing w:after="0" w:line="240" w:lineRule="auto"/>
              <w:jc w:val="center"/>
              <w:rPr>
                <w:rFonts w:cstheme="minorHAnsi"/>
                <w:lang w:val="en-GB"/>
              </w:rPr>
            </w:pPr>
          </w:p>
        </w:tc>
      </w:tr>
      <w:tr w:rsidR="00A7659D" w:rsidRPr="0033055B" w14:paraId="3B8B3B70" w14:textId="77777777" w:rsidTr="00FF07DC">
        <w:trPr>
          <w:trHeight w:val="701"/>
          <w:jc w:val="center"/>
        </w:trPr>
        <w:tc>
          <w:tcPr>
            <w:tcW w:w="1301" w:type="dxa"/>
            <w:vMerge w:val="restart"/>
            <w:shd w:val="clear" w:color="auto" w:fill="D9D9D9" w:themeFill="background1" w:themeFillShade="D9"/>
          </w:tcPr>
          <w:p w14:paraId="49305B8C" w14:textId="77777777" w:rsidR="00A7659D" w:rsidRPr="0033055B" w:rsidRDefault="00A7659D" w:rsidP="00FF07DC">
            <w:pPr>
              <w:autoSpaceDE w:val="0"/>
              <w:snapToGrid w:val="0"/>
              <w:spacing w:after="0" w:line="240" w:lineRule="auto"/>
              <w:jc w:val="both"/>
              <w:rPr>
                <w:rFonts w:cstheme="minorHAnsi"/>
                <w:b/>
                <w:lang w:val="en-GB"/>
              </w:rPr>
            </w:pPr>
          </w:p>
          <w:p w14:paraId="5F34D409" w14:textId="77777777" w:rsidR="00A7659D" w:rsidRPr="0033055B" w:rsidRDefault="00A7659D" w:rsidP="00FF07DC">
            <w:pPr>
              <w:autoSpaceDE w:val="0"/>
              <w:snapToGrid w:val="0"/>
              <w:spacing w:after="0" w:line="240" w:lineRule="auto"/>
              <w:jc w:val="both"/>
              <w:rPr>
                <w:rFonts w:cstheme="minorHAnsi"/>
                <w:b/>
              </w:rPr>
            </w:pPr>
            <w:r>
              <w:rPr>
                <w:b/>
              </w:rPr>
              <w:t>B) Biomasa nga bujqësia dhe peshkataria:</w:t>
            </w:r>
          </w:p>
        </w:tc>
        <w:tc>
          <w:tcPr>
            <w:tcW w:w="3995" w:type="dxa"/>
            <w:shd w:val="clear" w:color="auto" w:fill="FFFFFF" w:themeFill="background1"/>
          </w:tcPr>
          <w:p w14:paraId="08B756BB" w14:textId="77777777" w:rsidR="00A7659D" w:rsidRPr="0033055B" w:rsidRDefault="00A7659D" w:rsidP="00FF07DC">
            <w:pPr>
              <w:autoSpaceDE w:val="0"/>
              <w:snapToGrid w:val="0"/>
              <w:spacing w:after="0" w:line="240" w:lineRule="auto"/>
              <w:jc w:val="both"/>
              <w:rPr>
                <w:rFonts w:cstheme="minorHAnsi"/>
                <w:b/>
                <w:lang w:val="en-GB"/>
              </w:rPr>
            </w:pPr>
          </w:p>
          <w:p w14:paraId="7C870844" w14:textId="77777777" w:rsidR="00A7659D" w:rsidRPr="0033055B" w:rsidRDefault="00A7659D" w:rsidP="00FF07DC">
            <w:pPr>
              <w:autoSpaceDE w:val="0"/>
              <w:snapToGrid w:val="0"/>
              <w:spacing w:after="0" w:line="240" w:lineRule="auto"/>
              <w:jc w:val="both"/>
              <w:rPr>
                <w:rFonts w:cstheme="minorHAnsi"/>
                <w:i/>
              </w:rPr>
            </w:pPr>
            <w:r>
              <w:rPr>
                <w:b/>
              </w:rPr>
              <w:t>(1) të vjela bujqësore dhe produkte peshkatare drejtpërdrejt të përdorura për prodhim të energjisë</w:t>
            </w:r>
          </w:p>
        </w:tc>
        <w:tc>
          <w:tcPr>
            <w:tcW w:w="1112" w:type="dxa"/>
            <w:gridSpan w:val="2"/>
            <w:shd w:val="clear" w:color="auto" w:fill="FFFFFF" w:themeFill="background1"/>
            <w:vAlign w:val="center"/>
          </w:tcPr>
          <w:p w14:paraId="63550BB7" w14:textId="77777777" w:rsidR="00A7659D" w:rsidRPr="0033055B" w:rsidRDefault="00A7659D" w:rsidP="00FF07DC">
            <w:pPr>
              <w:autoSpaceDE w:val="0"/>
              <w:snapToGrid w:val="0"/>
              <w:spacing w:after="0" w:line="240" w:lineRule="auto"/>
              <w:jc w:val="center"/>
              <w:rPr>
                <w:rFonts w:cstheme="minorHAnsi"/>
                <w:lang w:val="en-GB"/>
              </w:rPr>
            </w:pPr>
          </w:p>
        </w:tc>
        <w:tc>
          <w:tcPr>
            <w:tcW w:w="1112" w:type="dxa"/>
            <w:gridSpan w:val="2"/>
            <w:shd w:val="clear" w:color="auto" w:fill="FFFFFF" w:themeFill="background1"/>
            <w:vAlign w:val="center"/>
          </w:tcPr>
          <w:p w14:paraId="50AF64CA" w14:textId="77777777" w:rsidR="00A7659D" w:rsidRPr="0033055B" w:rsidRDefault="00A7659D" w:rsidP="00FF07DC">
            <w:pPr>
              <w:spacing w:after="0" w:line="240" w:lineRule="auto"/>
              <w:jc w:val="center"/>
              <w:rPr>
                <w:rFonts w:cstheme="minorHAnsi"/>
                <w:lang w:val="en-GB"/>
              </w:rPr>
            </w:pPr>
          </w:p>
        </w:tc>
        <w:tc>
          <w:tcPr>
            <w:tcW w:w="1157" w:type="dxa"/>
            <w:gridSpan w:val="3"/>
            <w:shd w:val="clear" w:color="auto" w:fill="FFFFFF" w:themeFill="background1"/>
            <w:vAlign w:val="center"/>
          </w:tcPr>
          <w:p w14:paraId="73BA7624" w14:textId="77777777" w:rsidR="00A7659D" w:rsidRPr="0033055B" w:rsidRDefault="00A7659D" w:rsidP="00FF07DC">
            <w:pPr>
              <w:spacing w:after="0" w:line="240" w:lineRule="auto"/>
              <w:jc w:val="center"/>
              <w:rPr>
                <w:rFonts w:cstheme="minorHAnsi"/>
                <w:lang w:val="en-GB"/>
              </w:rPr>
            </w:pPr>
          </w:p>
        </w:tc>
        <w:tc>
          <w:tcPr>
            <w:tcW w:w="965" w:type="dxa"/>
            <w:shd w:val="clear" w:color="auto" w:fill="FFFFFF" w:themeFill="background1"/>
            <w:vAlign w:val="center"/>
          </w:tcPr>
          <w:p w14:paraId="53533E56" w14:textId="77777777" w:rsidR="00A7659D" w:rsidRPr="0033055B" w:rsidRDefault="00A7659D" w:rsidP="00FF07DC">
            <w:pPr>
              <w:spacing w:after="0" w:line="240" w:lineRule="auto"/>
              <w:jc w:val="center"/>
              <w:rPr>
                <w:rFonts w:cstheme="minorHAnsi"/>
                <w:lang w:val="en-GB"/>
              </w:rPr>
            </w:pPr>
          </w:p>
        </w:tc>
      </w:tr>
      <w:tr w:rsidR="00A7659D" w:rsidRPr="0033055B" w14:paraId="16C4CBFE" w14:textId="77777777" w:rsidTr="00FF07DC">
        <w:trPr>
          <w:trHeight w:val="144"/>
          <w:jc w:val="center"/>
        </w:trPr>
        <w:tc>
          <w:tcPr>
            <w:tcW w:w="1301" w:type="dxa"/>
            <w:vMerge/>
            <w:shd w:val="clear" w:color="auto" w:fill="D9D9D9" w:themeFill="background1" w:themeFillShade="D9"/>
          </w:tcPr>
          <w:p w14:paraId="67741B7D" w14:textId="77777777" w:rsidR="00A7659D" w:rsidRPr="0033055B" w:rsidRDefault="00A7659D" w:rsidP="00FF07DC">
            <w:pPr>
              <w:spacing w:after="0" w:line="240" w:lineRule="auto"/>
              <w:rPr>
                <w:rFonts w:cstheme="minorHAnsi"/>
                <w:lang w:val="en-GB"/>
              </w:rPr>
            </w:pPr>
          </w:p>
        </w:tc>
        <w:tc>
          <w:tcPr>
            <w:tcW w:w="4007" w:type="dxa"/>
            <w:gridSpan w:val="2"/>
            <w:shd w:val="clear" w:color="auto" w:fill="FFFFFF" w:themeFill="background1"/>
          </w:tcPr>
          <w:p w14:paraId="6C4F8883" w14:textId="77777777" w:rsidR="00A7659D" w:rsidRPr="0033055B" w:rsidRDefault="00A7659D" w:rsidP="00FF07DC">
            <w:pPr>
              <w:autoSpaceDE w:val="0"/>
              <w:spacing w:after="0" w:line="240" w:lineRule="auto"/>
              <w:rPr>
                <w:rFonts w:cstheme="minorHAnsi"/>
                <w:b/>
                <w:lang w:val="en-GB"/>
              </w:rPr>
            </w:pPr>
          </w:p>
          <w:p w14:paraId="4234FE54" w14:textId="77777777" w:rsidR="00A7659D" w:rsidRPr="0033055B" w:rsidRDefault="00A7659D" w:rsidP="00FF07DC">
            <w:pPr>
              <w:autoSpaceDE w:val="0"/>
              <w:spacing w:after="0" w:line="240" w:lineRule="auto"/>
              <w:rPr>
                <w:rFonts w:cstheme="minorHAnsi"/>
                <w:i/>
              </w:rPr>
            </w:pPr>
            <w:r>
              <w:rPr>
                <w:b/>
              </w:rPr>
              <w:t>(2) nus-produktet bujqësore/ mbetjet e përpunuara dhe nus-produktet e peshkatarisë për prodhim energjie</w:t>
            </w:r>
          </w:p>
        </w:tc>
        <w:tc>
          <w:tcPr>
            <w:tcW w:w="1109" w:type="dxa"/>
            <w:gridSpan w:val="2"/>
            <w:shd w:val="clear" w:color="auto" w:fill="FFFFFF" w:themeFill="background1"/>
            <w:vAlign w:val="center"/>
          </w:tcPr>
          <w:p w14:paraId="060DB65C" w14:textId="77777777" w:rsidR="00A7659D" w:rsidRPr="0033055B" w:rsidRDefault="00A7659D" w:rsidP="00FF07DC">
            <w:pPr>
              <w:autoSpaceDE w:val="0"/>
              <w:snapToGrid w:val="0"/>
              <w:spacing w:after="0" w:line="240" w:lineRule="auto"/>
              <w:jc w:val="center"/>
              <w:rPr>
                <w:rFonts w:cstheme="minorHAnsi"/>
                <w:lang w:val="en-GB"/>
              </w:rPr>
            </w:pPr>
          </w:p>
        </w:tc>
        <w:tc>
          <w:tcPr>
            <w:tcW w:w="1109" w:type="dxa"/>
            <w:gridSpan w:val="2"/>
            <w:shd w:val="clear" w:color="auto" w:fill="FFFFFF" w:themeFill="background1"/>
            <w:vAlign w:val="center"/>
          </w:tcPr>
          <w:p w14:paraId="571992BB" w14:textId="77777777" w:rsidR="00A7659D" w:rsidRPr="0033055B" w:rsidRDefault="00A7659D" w:rsidP="00FF07DC">
            <w:pPr>
              <w:spacing w:after="0" w:line="240" w:lineRule="auto"/>
              <w:jc w:val="center"/>
              <w:rPr>
                <w:rFonts w:cstheme="minorHAnsi"/>
                <w:lang w:val="en-GB"/>
              </w:rPr>
            </w:pPr>
          </w:p>
        </w:tc>
        <w:tc>
          <w:tcPr>
            <w:tcW w:w="1151" w:type="dxa"/>
            <w:gridSpan w:val="2"/>
            <w:shd w:val="clear" w:color="auto" w:fill="FFFFFF" w:themeFill="background1"/>
            <w:vAlign w:val="center"/>
          </w:tcPr>
          <w:p w14:paraId="0B1EE954" w14:textId="77777777" w:rsidR="00A7659D" w:rsidRPr="0033055B" w:rsidRDefault="00A7659D" w:rsidP="00FF07DC">
            <w:pPr>
              <w:spacing w:after="0" w:line="240" w:lineRule="auto"/>
              <w:jc w:val="center"/>
              <w:rPr>
                <w:rFonts w:cstheme="minorHAnsi"/>
                <w:lang w:val="en-GB"/>
              </w:rPr>
            </w:pPr>
          </w:p>
        </w:tc>
        <w:tc>
          <w:tcPr>
            <w:tcW w:w="965" w:type="dxa"/>
            <w:shd w:val="clear" w:color="auto" w:fill="FFFFFF" w:themeFill="background1"/>
            <w:vAlign w:val="center"/>
          </w:tcPr>
          <w:p w14:paraId="3BE9E361" w14:textId="77777777" w:rsidR="00A7659D" w:rsidRPr="0033055B" w:rsidRDefault="00A7659D" w:rsidP="00FF07DC">
            <w:pPr>
              <w:spacing w:after="0" w:line="240" w:lineRule="auto"/>
              <w:jc w:val="center"/>
              <w:rPr>
                <w:rFonts w:cstheme="minorHAnsi"/>
                <w:lang w:val="en-GB"/>
              </w:rPr>
            </w:pPr>
          </w:p>
        </w:tc>
      </w:tr>
      <w:tr w:rsidR="00A7659D" w:rsidRPr="0033055B" w14:paraId="0C8C5BE3" w14:textId="77777777" w:rsidTr="00FF07DC">
        <w:trPr>
          <w:trHeight w:val="1669"/>
          <w:jc w:val="center"/>
        </w:trPr>
        <w:tc>
          <w:tcPr>
            <w:tcW w:w="1301" w:type="dxa"/>
            <w:vMerge w:val="restart"/>
            <w:shd w:val="clear" w:color="auto" w:fill="D9D9D9" w:themeFill="background1" w:themeFillShade="D9"/>
          </w:tcPr>
          <w:p w14:paraId="16D29B41" w14:textId="77777777" w:rsidR="00A7659D" w:rsidRPr="0033055B" w:rsidRDefault="00A7659D" w:rsidP="00FF07DC">
            <w:pPr>
              <w:autoSpaceDE w:val="0"/>
              <w:snapToGrid w:val="0"/>
              <w:spacing w:after="0" w:line="240" w:lineRule="auto"/>
              <w:jc w:val="both"/>
              <w:rPr>
                <w:rFonts w:cstheme="minorHAnsi"/>
                <w:b/>
                <w:lang w:val="en-GB"/>
              </w:rPr>
            </w:pPr>
          </w:p>
          <w:p w14:paraId="289AC722" w14:textId="77777777" w:rsidR="00A7659D" w:rsidRPr="0033055B" w:rsidRDefault="00EB1E33" w:rsidP="00FF07DC">
            <w:pPr>
              <w:autoSpaceDE w:val="0"/>
              <w:snapToGrid w:val="0"/>
              <w:spacing w:after="0" w:line="240" w:lineRule="auto"/>
              <w:jc w:val="both"/>
              <w:rPr>
                <w:rFonts w:cstheme="minorHAnsi"/>
                <w:i/>
              </w:rPr>
            </w:pPr>
            <w:r>
              <w:rPr>
                <w:b/>
              </w:rPr>
              <w:t>C) Biomasa nga mbeturinat:</w:t>
            </w:r>
          </w:p>
        </w:tc>
        <w:tc>
          <w:tcPr>
            <w:tcW w:w="3995" w:type="dxa"/>
            <w:shd w:val="clear" w:color="auto" w:fill="FFFFFF" w:themeFill="background1"/>
          </w:tcPr>
          <w:p w14:paraId="54D637DF" w14:textId="77777777" w:rsidR="00A7659D" w:rsidRPr="0033055B" w:rsidRDefault="00A7659D" w:rsidP="00FF07DC">
            <w:pPr>
              <w:autoSpaceDE w:val="0"/>
              <w:snapToGrid w:val="0"/>
              <w:spacing w:after="0" w:line="240" w:lineRule="auto"/>
              <w:jc w:val="both"/>
              <w:rPr>
                <w:rFonts w:cstheme="minorHAnsi"/>
                <w:i/>
                <w:lang w:val="en-GB"/>
              </w:rPr>
            </w:pPr>
          </w:p>
          <w:p w14:paraId="392A3BA8" w14:textId="77777777" w:rsidR="00A7659D" w:rsidRPr="0033055B" w:rsidRDefault="00A7659D" w:rsidP="00FF07DC">
            <w:pPr>
              <w:autoSpaceDE w:val="0"/>
              <w:snapToGrid w:val="0"/>
              <w:spacing w:after="0" w:line="240" w:lineRule="auto"/>
              <w:jc w:val="both"/>
              <w:rPr>
                <w:rFonts w:cstheme="minorHAnsi"/>
              </w:rPr>
            </w:pPr>
            <w:r>
              <w:rPr>
                <w:i/>
              </w:rPr>
              <w:t>Nga të cilat:</w:t>
            </w:r>
          </w:p>
          <w:p w14:paraId="243F671D" w14:textId="77777777" w:rsidR="00A7659D" w:rsidRPr="0033055B" w:rsidRDefault="00A7659D" w:rsidP="00FF07DC">
            <w:pPr>
              <w:autoSpaceDE w:val="0"/>
              <w:snapToGrid w:val="0"/>
              <w:spacing w:after="0" w:line="240" w:lineRule="auto"/>
              <w:jc w:val="both"/>
              <w:rPr>
                <w:rFonts w:cstheme="minorHAnsi"/>
              </w:rPr>
            </w:pPr>
            <w:r>
              <w:rPr>
                <w:b/>
              </w:rPr>
              <w:t>(1) Pjesa e bio-degradueshme nga mbeturinat e ngurta komunale, duke përfshirë bio-mbeturinat (mbetjet e bio-degradueshme të kopshteve dhe parqeve, mbetjet ushqimore dhe të kuzhinës nga familjet, restoranet, hotelieret, si dhe lokalet shitëse, si dhe mbetjet e krahasueshme nga fabrikat e përpunimit ushqimor) si dhe gazi nga deponitë e mbeturinave</w:t>
            </w:r>
          </w:p>
        </w:tc>
        <w:tc>
          <w:tcPr>
            <w:tcW w:w="1112" w:type="dxa"/>
            <w:gridSpan w:val="2"/>
            <w:shd w:val="clear" w:color="auto" w:fill="FFFFFF" w:themeFill="background1"/>
            <w:vAlign w:val="center"/>
          </w:tcPr>
          <w:p w14:paraId="2F637729" w14:textId="77777777" w:rsidR="00A7659D" w:rsidRPr="0033055B" w:rsidRDefault="00A7659D" w:rsidP="00FF07DC">
            <w:pPr>
              <w:autoSpaceDE w:val="0"/>
              <w:snapToGrid w:val="0"/>
              <w:spacing w:after="0" w:line="240" w:lineRule="auto"/>
              <w:jc w:val="center"/>
              <w:rPr>
                <w:rFonts w:cstheme="minorHAnsi"/>
                <w:lang w:val="en-GB"/>
              </w:rPr>
            </w:pPr>
          </w:p>
        </w:tc>
        <w:tc>
          <w:tcPr>
            <w:tcW w:w="1112" w:type="dxa"/>
            <w:gridSpan w:val="2"/>
            <w:shd w:val="clear" w:color="auto" w:fill="FFFFFF" w:themeFill="background1"/>
            <w:vAlign w:val="center"/>
          </w:tcPr>
          <w:p w14:paraId="15DF3F82" w14:textId="77777777" w:rsidR="00A7659D" w:rsidRPr="0033055B" w:rsidRDefault="00A7659D" w:rsidP="00FF07DC">
            <w:pPr>
              <w:spacing w:after="0" w:line="240" w:lineRule="auto"/>
              <w:jc w:val="center"/>
              <w:rPr>
                <w:rFonts w:cstheme="minorHAnsi"/>
                <w:lang w:val="en-GB"/>
              </w:rPr>
            </w:pPr>
          </w:p>
        </w:tc>
        <w:tc>
          <w:tcPr>
            <w:tcW w:w="1157" w:type="dxa"/>
            <w:gridSpan w:val="3"/>
            <w:shd w:val="clear" w:color="auto" w:fill="FFFFFF" w:themeFill="background1"/>
            <w:vAlign w:val="center"/>
          </w:tcPr>
          <w:p w14:paraId="30940903" w14:textId="77777777" w:rsidR="00A7659D" w:rsidRPr="0033055B" w:rsidRDefault="00A7659D" w:rsidP="00FF07DC">
            <w:pPr>
              <w:spacing w:after="0" w:line="240" w:lineRule="auto"/>
              <w:jc w:val="center"/>
              <w:rPr>
                <w:rFonts w:cstheme="minorHAnsi"/>
                <w:lang w:val="en-GB"/>
              </w:rPr>
            </w:pPr>
          </w:p>
        </w:tc>
        <w:tc>
          <w:tcPr>
            <w:tcW w:w="965" w:type="dxa"/>
            <w:shd w:val="clear" w:color="auto" w:fill="FFFFFF" w:themeFill="background1"/>
            <w:vAlign w:val="center"/>
          </w:tcPr>
          <w:p w14:paraId="3A2A8711" w14:textId="77777777" w:rsidR="00A7659D" w:rsidRPr="0033055B" w:rsidRDefault="00A7659D" w:rsidP="00FF07DC">
            <w:pPr>
              <w:spacing w:after="0" w:line="240" w:lineRule="auto"/>
              <w:jc w:val="center"/>
              <w:rPr>
                <w:rFonts w:cstheme="minorHAnsi"/>
                <w:lang w:val="en-GB"/>
              </w:rPr>
            </w:pPr>
          </w:p>
        </w:tc>
      </w:tr>
      <w:tr w:rsidR="00A7659D" w:rsidRPr="0033055B" w14:paraId="2966D61D" w14:textId="77777777" w:rsidTr="00FF07DC">
        <w:trPr>
          <w:trHeight w:val="791"/>
          <w:jc w:val="center"/>
        </w:trPr>
        <w:tc>
          <w:tcPr>
            <w:tcW w:w="1301" w:type="dxa"/>
            <w:vMerge/>
            <w:shd w:val="clear" w:color="auto" w:fill="D9D9D9" w:themeFill="background1" w:themeFillShade="D9"/>
          </w:tcPr>
          <w:p w14:paraId="7FADDC97" w14:textId="77777777" w:rsidR="00A7659D" w:rsidRPr="0033055B" w:rsidRDefault="00A7659D" w:rsidP="00FF07DC">
            <w:pPr>
              <w:spacing w:after="0" w:line="240" w:lineRule="auto"/>
              <w:rPr>
                <w:rFonts w:cstheme="minorHAnsi"/>
                <w:lang w:val="en-GB"/>
              </w:rPr>
            </w:pPr>
          </w:p>
        </w:tc>
        <w:tc>
          <w:tcPr>
            <w:tcW w:w="4007" w:type="dxa"/>
            <w:gridSpan w:val="2"/>
            <w:shd w:val="clear" w:color="auto" w:fill="FFFFFF" w:themeFill="background1"/>
          </w:tcPr>
          <w:p w14:paraId="4BF497D9" w14:textId="77777777" w:rsidR="00A7659D" w:rsidRPr="0033055B" w:rsidRDefault="00A7659D" w:rsidP="00FF07DC">
            <w:pPr>
              <w:autoSpaceDE w:val="0"/>
              <w:snapToGrid w:val="0"/>
              <w:spacing w:after="0" w:line="240" w:lineRule="auto"/>
              <w:jc w:val="both"/>
              <w:rPr>
                <w:rFonts w:cstheme="minorHAnsi"/>
                <w:b/>
                <w:lang w:val="en-GB"/>
              </w:rPr>
            </w:pPr>
          </w:p>
          <w:p w14:paraId="01723794" w14:textId="77777777" w:rsidR="00A7659D" w:rsidRPr="0033055B" w:rsidRDefault="00A7659D" w:rsidP="00FF07DC">
            <w:pPr>
              <w:autoSpaceDE w:val="0"/>
              <w:snapToGrid w:val="0"/>
              <w:spacing w:after="0" w:line="240" w:lineRule="auto"/>
              <w:jc w:val="both"/>
              <w:rPr>
                <w:rFonts w:cstheme="minorHAnsi"/>
              </w:rPr>
            </w:pPr>
            <w:r>
              <w:rPr>
                <w:b/>
              </w:rPr>
              <w:t>(2) Pjesa e bio-degradueshme nga mbeturinat industriale (përfshirë letrën, kartonin, paletat)</w:t>
            </w:r>
          </w:p>
        </w:tc>
        <w:tc>
          <w:tcPr>
            <w:tcW w:w="1109" w:type="dxa"/>
            <w:gridSpan w:val="2"/>
            <w:shd w:val="clear" w:color="auto" w:fill="FFFFFF" w:themeFill="background1"/>
          </w:tcPr>
          <w:p w14:paraId="15CAD0C8" w14:textId="77777777" w:rsidR="00A7659D" w:rsidRPr="0033055B" w:rsidRDefault="00A7659D" w:rsidP="00FF07DC">
            <w:pPr>
              <w:autoSpaceDE w:val="0"/>
              <w:snapToGrid w:val="0"/>
              <w:spacing w:after="0" w:line="240" w:lineRule="auto"/>
              <w:jc w:val="center"/>
              <w:rPr>
                <w:rFonts w:cstheme="minorHAnsi"/>
                <w:lang w:val="en-GB"/>
              </w:rPr>
            </w:pPr>
          </w:p>
        </w:tc>
        <w:tc>
          <w:tcPr>
            <w:tcW w:w="1109" w:type="dxa"/>
            <w:gridSpan w:val="2"/>
            <w:shd w:val="clear" w:color="auto" w:fill="FFFFFF" w:themeFill="background1"/>
          </w:tcPr>
          <w:p w14:paraId="20B83BFC" w14:textId="77777777" w:rsidR="00A7659D" w:rsidRPr="0033055B" w:rsidRDefault="00A7659D" w:rsidP="00FF07DC">
            <w:pPr>
              <w:spacing w:after="0" w:line="240" w:lineRule="auto"/>
              <w:jc w:val="center"/>
              <w:rPr>
                <w:rFonts w:cstheme="minorHAnsi"/>
                <w:lang w:val="en-GB"/>
              </w:rPr>
            </w:pPr>
          </w:p>
        </w:tc>
        <w:tc>
          <w:tcPr>
            <w:tcW w:w="1151" w:type="dxa"/>
            <w:gridSpan w:val="2"/>
            <w:shd w:val="clear" w:color="auto" w:fill="FFFFFF" w:themeFill="background1"/>
          </w:tcPr>
          <w:p w14:paraId="56E201C8" w14:textId="77777777" w:rsidR="00A7659D" w:rsidRPr="0033055B" w:rsidRDefault="00A7659D" w:rsidP="00FF07DC">
            <w:pPr>
              <w:spacing w:after="0" w:line="240" w:lineRule="auto"/>
              <w:jc w:val="center"/>
              <w:rPr>
                <w:rFonts w:cstheme="minorHAnsi"/>
                <w:lang w:val="en-GB"/>
              </w:rPr>
            </w:pPr>
          </w:p>
        </w:tc>
        <w:tc>
          <w:tcPr>
            <w:tcW w:w="965" w:type="dxa"/>
            <w:shd w:val="clear" w:color="auto" w:fill="FFFFFF" w:themeFill="background1"/>
          </w:tcPr>
          <w:p w14:paraId="376B45F0" w14:textId="77777777" w:rsidR="00A7659D" w:rsidRPr="0033055B" w:rsidRDefault="00A7659D" w:rsidP="00FF07DC">
            <w:pPr>
              <w:spacing w:after="0" w:line="240" w:lineRule="auto"/>
              <w:jc w:val="center"/>
              <w:rPr>
                <w:rFonts w:cstheme="minorHAnsi"/>
                <w:lang w:val="en-GB"/>
              </w:rPr>
            </w:pPr>
          </w:p>
        </w:tc>
      </w:tr>
      <w:tr w:rsidR="00A7659D" w:rsidRPr="0033055B" w14:paraId="123118FA" w14:textId="77777777" w:rsidTr="00FF07DC">
        <w:trPr>
          <w:trHeight w:val="511"/>
          <w:jc w:val="center"/>
        </w:trPr>
        <w:tc>
          <w:tcPr>
            <w:tcW w:w="1301" w:type="dxa"/>
            <w:vMerge/>
            <w:shd w:val="clear" w:color="auto" w:fill="D9D9D9" w:themeFill="background1" w:themeFillShade="D9"/>
          </w:tcPr>
          <w:p w14:paraId="6930ECC7" w14:textId="77777777" w:rsidR="00A7659D" w:rsidRPr="0033055B" w:rsidRDefault="00A7659D" w:rsidP="00FF07DC">
            <w:pPr>
              <w:spacing w:after="0" w:line="240" w:lineRule="auto"/>
              <w:rPr>
                <w:rFonts w:cstheme="minorHAnsi"/>
                <w:lang w:val="en-GB"/>
              </w:rPr>
            </w:pPr>
          </w:p>
        </w:tc>
        <w:tc>
          <w:tcPr>
            <w:tcW w:w="4007" w:type="dxa"/>
            <w:gridSpan w:val="2"/>
            <w:shd w:val="clear" w:color="auto" w:fill="FFFFFF" w:themeFill="background1"/>
          </w:tcPr>
          <w:p w14:paraId="14F86AC2" w14:textId="77777777" w:rsidR="00A7659D" w:rsidRPr="0033055B" w:rsidRDefault="00A7659D" w:rsidP="00FF07DC">
            <w:pPr>
              <w:autoSpaceDE w:val="0"/>
              <w:snapToGrid w:val="0"/>
              <w:spacing w:after="0" w:line="240" w:lineRule="auto"/>
              <w:jc w:val="both"/>
              <w:rPr>
                <w:rFonts w:cstheme="minorHAnsi"/>
                <w:b/>
                <w:lang w:val="en-GB"/>
              </w:rPr>
            </w:pPr>
          </w:p>
          <w:p w14:paraId="19244D80" w14:textId="77777777" w:rsidR="00A7659D" w:rsidRPr="0033055B" w:rsidRDefault="00EB1E33" w:rsidP="00FF07DC">
            <w:pPr>
              <w:autoSpaceDE w:val="0"/>
              <w:snapToGrid w:val="0"/>
              <w:spacing w:after="0" w:line="240" w:lineRule="auto"/>
              <w:jc w:val="both"/>
              <w:rPr>
                <w:rFonts w:cstheme="minorHAnsi"/>
                <w:b/>
              </w:rPr>
            </w:pPr>
            <w:r>
              <w:rPr>
                <w:b/>
              </w:rPr>
              <w:t xml:space="preserve">(3) Zgjyra e kanalizimit  </w:t>
            </w:r>
          </w:p>
        </w:tc>
        <w:tc>
          <w:tcPr>
            <w:tcW w:w="1109" w:type="dxa"/>
            <w:gridSpan w:val="2"/>
            <w:shd w:val="clear" w:color="auto" w:fill="FFFFFF" w:themeFill="background1"/>
            <w:vAlign w:val="center"/>
          </w:tcPr>
          <w:p w14:paraId="20BDE3BF" w14:textId="77777777" w:rsidR="00A7659D" w:rsidRPr="0033055B" w:rsidRDefault="00A7659D" w:rsidP="00FF07DC">
            <w:pPr>
              <w:autoSpaceDE w:val="0"/>
              <w:snapToGrid w:val="0"/>
              <w:spacing w:after="0" w:line="240" w:lineRule="auto"/>
              <w:jc w:val="center"/>
              <w:rPr>
                <w:rFonts w:cstheme="minorHAnsi"/>
                <w:lang w:val="en-GB"/>
              </w:rPr>
            </w:pPr>
          </w:p>
        </w:tc>
        <w:tc>
          <w:tcPr>
            <w:tcW w:w="1109" w:type="dxa"/>
            <w:gridSpan w:val="2"/>
            <w:shd w:val="clear" w:color="auto" w:fill="FFFFFF" w:themeFill="background1"/>
            <w:vAlign w:val="center"/>
          </w:tcPr>
          <w:p w14:paraId="2FD6CB5D" w14:textId="77777777" w:rsidR="00A7659D" w:rsidRPr="0033055B" w:rsidRDefault="00A7659D" w:rsidP="00FF07DC">
            <w:pPr>
              <w:spacing w:after="0" w:line="240" w:lineRule="auto"/>
              <w:jc w:val="center"/>
              <w:rPr>
                <w:rFonts w:cstheme="minorHAnsi"/>
                <w:lang w:val="en-GB"/>
              </w:rPr>
            </w:pPr>
          </w:p>
        </w:tc>
        <w:tc>
          <w:tcPr>
            <w:tcW w:w="1151" w:type="dxa"/>
            <w:gridSpan w:val="2"/>
            <w:shd w:val="clear" w:color="auto" w:fill="FFFFFF" w:themeFill="background1"/>
            <w:vAlign w:val="center"/>
          </w:tcPr>
          <w:p w14:paraId="5E44725E" w14:textId="77777777" w:rsidR="00A7659D" w:rsidRPr="0033055B" w:rsidRDefault="00A7659D" w:rsidP="00FF07DC">
            <w:pPr>
              <w:spacing w:after="0" w:line="240" w:lineRule="auto"/>
              <w:jc w:val="center"/>
              <w:rPr>
                <w:rFonts w:cstheme="minorHAnsi"/>
                <w:lang w:val="en-GB"/>
              </w:rPr>
            </w:pPr>
          </w:p>
        </w:tc>
        <w:tc>
          <w:tcPr>
            <w:tcW w:w="965" w:type="dxa"/>
            <w:shd w:val="clear" w:color="auto" w:fill="FFFFFF" w:themeFill="background1"/>
            <w:vAlign w:val="center"/>
          </w:tcPr>
          <w:p w14:paraId="02E47A36" w14:textId="77777777" w:rsidR="00A7659D" w:rsidRPr="0033055B" w:rsidRDefault="00A7659D" w:rsidP="00FF07DC">
            <w:pPr>
              <w:spacing w:after="0" w:line="240" w:lineRule="auto"/>
              <w:jc w:val="center"/>
              <w:rPr>
                <w:rFonts w:cstheme="minorHAnsi"/>
                <w:lang w:val="en-GB"/>
              </w:rPr>
            </w:pPr>
          </w:p>
        </w:tc>
      </w:tr>
    </w:tbl>
    <w:p w14:paraId="0097DA83" w14:textId="77777777" w:rsidR="00A7659D" w:rsidRPr="0033055B" w:rsidRDefault="00A7659D" w:rsidP="005E4A0E">
      <w:pPr>
        <w:spacing w:before="120" w:after="120" w:line="240" w:lineRule="auto"/>
        <w:jc w:val="both"/>
        <w:rPr>
          <w:rFonts w:cstheme="minorHAnsi"/>
          <w:lang w:val="en-GB"/>
        </w:rPr>
      </w:pPr>
    </w:p>
    <w:p w14:paraId="5CA673BC" w14:textId="738DE6C9" w:rsidR="00A7659D" w:rsidRPr="0033055B" w:rsidRDefault="00EB1E33" w:rsidP="00A7659D">
      <w:pPr>
        <w:spacing w:before="120" w:after="120" w:line="240" w:lineRule="auto"/>
        <w:jc w:val="center"/>
        <w:rPr>
          <w:rFonts w:cstheme="minorHAnsi"/>
          <w:b/>
        </w:rPr>
      </w:pPr>
      <w:bookmarkStart w:id="36" w:name="_Toc518377706"/>
      <w:r>
        <w:rPr>
          <w:rFonts w:ascii="Calibri" w:hAnsi="Calibri"/>
          <w:b/>
          <w:iCs/>
        </w:rPr>
        <w:t xml:space="preserve">Tabela </w:t>
      </w:r>
      <w:r w:rsidR="00724C64" w:rsidRPr="00EB1E33">
        <w:rPr>
          <w:rFonts w:ascii="Calibri" w:eastAsia="Calibri" w:hAnsi="Calibri"/>
          <w:b/>
          <w:iCs/>
        </w:rPr>
        <w:fldChar w:fldCharType="begin"/>
      </w:r>
      <w:r w:rsidRPr="00EB1E33">
        <w:rPr>
          <w:rFonts w:ascii="Calibri" w:eastAsia="Calibri" w:hAnsi="Calibri"/>
          <w:b/>
          <w:iCs/>
        </w:rPr>
        <w:instrText xml:space="preserve"> SEQ Table \* ARABIC </w:instrText>
      </w:r>
      <w:r w:rsidR="00724C64" w:rsidRPr="00EB1E33">
        <w:rPr>
          <w:rFonts w:ascii="Calibri" w:eastAsia="Calibri" w:hAnsi="Calibri"/>
          <w:b/>
          <w:iCs/>
        </w:rPr>
        <w:fldChar w:fldCharType="separate"/>
      </w:r>
      <w:r w:rsidR="00DC4741">
        <w:rPr>
          <w:rFonts w:ascii="Calibri" w:eastAsia="Calibri" w:hAnsi="Calibri"/>
          <w:b/>
          <w:iCs/>
          <w:noProof/>
        </w:rPr>
        <w:t>14</w:t>
      </w:r>
      <w:r w:rsidR="00724C64" w:rsidRPr="00EB1E33">
        <w:rPr>
          <w:rFonts w:ascii="Calibri" w:eastAsia="Calibri" w:hAnsi="Calibri"/>
          <w:b/>
          <w:iCs/>
        </w:rPr>
        <w:fldChar w:fldCharType="end"/>
      </w:r>
      <w:r>
        <w:rPr>
          <w:b/>
        </w:rPr>
        <w:t>: Shfrytëzimi aktual i tokës bujqësore për prodhimin e kulturave të dedikuara për energji në vitin 2009.</w:t>
      </w:r>
      <w:bookmarkEnd w:id="36"/>
    </w:p>
    <w:tbl>
      <w:tblPr>
        <w:tblW w:w="9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7195"/>
        <w:gridCol w:w="1870"/>
      </w:tblGrid>
      <w:tr w:rsidR="00A7659D" w:rsidRPr="0033055B" w14:paraId="0CC51ED6" w14:textId="77777777" w:rsidTr="00A7659D">
        <w:tc>
          <w:tcPr>
            <w:tcW w:w="7195" w:type="dxa"/>
            <w:shd w:val="clear" w:color="auto" w:fill="D9D9D9" w:themeFill="background1" w:themeFillShade="D9"/>
            <w:vAlign w:val="center"/>
          </w:tcPr>
          <w:p w14:paraId="78B2CA36" w14:textId="77777777" w:rsidR="00A7659D" w:rsidRPr="0033055B" w:rsidRDefault="00A7659D" w:rsidP="00A7659D">
            <w:pPr>
              <w:snapToGrid w:val="0"/>
              <w:spacing w:after="0" w:line="240" w:lineRule="auto"/>
              <w:jc w:val="center"/>
              <w:rPr>
                <w:rFonts w:ascii="Calibri" w:eastAsia="Times New Roman" w:hAnsi="Calibri" w:cs="Calibri"/>
                <w:b/>
                <w:bCs/>
              </w:rPr>
            </w:pPr>
            <w:r>
              <w:rPr>
                <w:rFonts w:ascii="Calibri" w:hAnsi="Calibri"/>
                <w:b/>
              </w:rPr>
              <w:t xml:space="preserve">Toka bujqësore e përdorur </w:t>
            </w:r>
            <w:r w:rsidRPr="00023221">
              <w:rPr>
                <w:rFonts w:ascii="Calibri" w:hAnsi="Calibri"/>
                <w:b/>
              </w:rPr>
              <w:t xml:space="preserve">për </w:t>
            </w:r>
            <w:r w:rsidRPr="00023221">
              <w:rPr>
                <w:rFonts w:ascii="Calibri" w:hAnsi="Calibri"/>
                <w:b/>
                <w:bCs/>
              </w:rPr>
              <w:t>prodhim të dedikuar energjie</w:t>
            </w:r>
          </w:p>
        </w:tc>
        <w:tc>
          <w:tcPr>
            <w:tcW w:w="1870" w:type="dxa"/>
            <w:shd w:val="clear" w:color="auto" w:fill="D9D9D9" w:themeFill="background1" w:themeFillShade="D9"/>
            <w:vAlign w:val="center"/>
          </w:tcPr>
          <w:p w14:paraId="7E0479E4" w14:textId="77777777" w:rsidR="00A7659D" w:rsidRPr="00E565CD" w:rsidRDefault="00EB1E33" w:rsidP="00E565CD">
            <w:pPr>
              <w:jc w:val="center"/>
              <w:rPr>
                <w:b/>
              </w:rPr>
            </w:pPr>
            <w:r>
              <w:rPr>
                <w:b/>
              </w:rPr>
              <w:t>Sipërfaqja në ha</w:t>
            </w:r>
          </w:p>
        </w:tc>
      </w:tr>
      <w:tr w:rsidR="00A7659D" w:rsidRPr="0033055B" w14:paraId="17268268" w14:textId="77777777" w:rsidTr="00A7659D">
        <w:tc>
          <w:tcPr>
            <w:tcW w:w="7195" w:type="dxa"/>
            <w:shd w:val="clear" w:color="auto" w:fill="FFFFFF" w:themeFill="background1"/>
            <w:vAlign w:val="center"/>
          </w:tcPr>
          <w:p w14:paraId="013CA6BA" w14:textId="77777777" w:rsidR="00A7659D" w:rsidRPr="0033055B" w:rsidRDefault="00A7659D" w:rsidP="00A7659D">
            <w:pPr>
              <w:numPr>
                <w:ilvl w:val="0"/>
                <w:numId w:val="4"/>
              </w:numPr>
              <w:suppressAutoHyphens/>
              <w:snapToGrid w:val="0"/>
              <w:spacing w:after="0" w:line="240" w:lineRule="auto"/>
              <w:rPr>
                <w:rFonts w:ascii="Calibri" w:eastAsia="Times New Roman" w:hAnsi="Calibri" w:cs="Calibri"/>
              </w:rPr>
            </w:pPr>
            <w:r>
              <w:rPr>
                <w:rFonts w:ascii="Calibri" w:hAnsi="Calibri"/>
              </w:rPr>
              <w:t>Toka e përdorur për trungje gjetherënëse (shelg, plep)</w:t>
            </w:r>
          </w:p>
        </w:tc>
        <w:tc>
          <w:tcPr>
            <w:tcW w:w="1870" w:type="dxa"/>
            <w:shd w:val="clear" w:color="auto" w:fill="FFFFFF" w:themeFill="background1"/>
            <w:vAlign w:val="center"/>
          </w:tcPr>
          <w:p w14:paraId="0ED4DCC7" w14:textId="77777777" w:rsidR="00A7659D" w:rsidRPr="0033055B" w:rsidRDefault="00EB1E33" w:rsidP="00E565CD">
            <w:pPr>
              <w:jc w:val="center"/>
            </w:pPr>
            <w:r>
              <w:t>0</w:t>
            </w:r>
          </w:p>
        </w:tc>
      </w:tr>
      <w:tr w:rsidR="00A7659D" w:rsidRPr="0033055B" w14:paraId="4F9467B7" w14:textId="77777777" w:rsidTr="00A7659D">
        <w:tc>
          <w:tcPr>
            <w:tcW w:w="7195" w:type="dxa"/>
            <w:shd w:val="clear" w:color="auto" w:fill="FFFFFF" w:themeFill="background1"/>
            <w:vAlign w:val="center"/>
          </w:tcPr>
          <w:p w14:paraId="3B659308" w14:textId="77777777" w:rsidR="00A7659D" w:rsidRPr="0033055B" w:rsidRDefault="00A7659D" w:rsidP="00A7659D">
            <w:pPr>
              <w:numPr>
                <w:ilvl w:val="0"/>
                <w:numId w:val="4"/>
              </w:numPr>
              <w:suppressAutoHyphens/>
              <w:snapToGrid w:val="0"/>
              <w:spacing w:after="0" w:line="240" w:lineRule="auto"/>
              <w:rPr>
                <w:rFonts w:ascii="Calibri" w:eastAsia="Times New Roman" w:hAnsi="Calibri" w:cs="Calibri"/>
              </w:rPr>
            </w:pPr>
            <w:r>
              <w:rPr>
                <w:rFonts w:ascii="Calibri" w:hAnsi="Calibri"/>
              </w:rPr>
              <w:t xml:space="preserve">Toka e përdorur për kultura të tjera energjetike, si barishtat </w:t>
            </w:r>
            <w:r w:rsidRPr="00023221">
              <w:rPr>
                <w:rFonts w:ascii="Calibri" w:hAnsi="Calibri"/>
              </w:rPr>
              <w:t>(bari red canary, switch, Miscanthus), sorghum</w:t>
            </w:r>
          </w:p>
        </w:tc>
        <w:tc>
          <w:tcPr>
            <w:tcW w:w="1870" w:type="dxa"/>
            <w:shd w:val="clear" w:color="auto" w:fill="FFFFFF" w:themeFill="background1"/>
            <w:vAlign w:val="center"/>
          </w:tcPr>
          <w:p w14:paraId="42C6616D" w14:textId="77777777" w:rsidR="00A7659D" w:rsidRPr="0033055B" w:rsidRDefault="00EB1E33" w:rsidP="00E565CD">
            <w:pPr>
              <w:jc w:val="center"/>
            </w:pPr>
            <w:r>
              <w:t>0</w:t>
            </w:r>
          </w:p>
        </w:tc>
      </w:tr>
    </w:tbl>
    <w:p w14:paraId="0B5BBE83" w14:textId="77777777" w:rsidR="00A7659D" w:rsidRPr="0033055B" w:rsidRDefault="00A7659D" w:rsidP="005E4A0E">
      <w:pPr>
        <w:spacing w:before="120" w:after="120" w:line="240" w:lineRule="auto"/>
        <w:jc w:val="both"/>
        <w:rPr>
          <w:rFonts w:cstheme="minorHAnsi"/>
          <w:lang w:val="en-GB"/>
        </w:rPr>
      </w:pPr>
    </w:p>
    <w:p w14:paraId="59A851B3" w14:textId="77777777" w:rsidR="00A7659D" w:rsidRPr="0033055B" w:rsidRDefault="00A7659D" w:rsidP="005E4A0E">
      <w:pPr>
        <w:spacing w:before="120" w:after="120" w:line="240" w:lineRule="auto"/>
        <w:jc w:val="both"/>
        <w:rPr>
          <w:rFonts w:cstheme="minorHAnsi"/>
          <w:lang w:val="en-GB"/>
        </w:rPr>
        <w:sectPr w:rsidR="00A7659D" w:rsidRPr="0033055B" w:rsidSect="00A7659D">
          <w:pgSz w:w="12240" w:h="15840"/>
          <w:pgMar w:top="1440" w:right="1440" w:bottom="1440" w:left="1440" w:header="720" w:footer="720" w:gutter="0"/>
          <w:cols w:space="720"/>
          <w:docGrid w:linePitch="360"/>
        </w:sectPr>
      </w:pPr>
    </w:p>
    <w:p w14:paraId="29531D04" w14:textId="77777777" w:rsidR="005E4A0E" w:rsidRPr="0033055B" w:rsidRDefault="00EB1E33" w:rsidP="00455E08">
      <w:pPr>
        <w:spacing w:before="240" w:after="240" w:line="240" w:lineRule="auto"/>
        <w:jc w:val="both"/>
        <w:rPr>
          <w:rFonts w:cstheme="minorHAnsi"/>
          <w:i/>
        </w:rPr>
      </w:pPr>
      <w:r>
        <w:rPr>
          <w:i/>
        </w:rPr>
        <w:t>4.6.2. Masat për rritjen e disponueshmërisë së biomasës, duke marrë parasysh përdoruesit tjerë të biomasës (sektori i bujqësisë dhe të tjerë të bazuar në pyje)</w:t>
      </w:r>
    </w:p>
    <w:p w14:paraId="748CE5E3" w14:textId="77777777" w:rsidR="00D27E21" w:rsidRPr="0033055B" w:rsidRDefault="00D27E21" w:rsidP="00D27E21">
      <w:pPr>
        <w:spacing w:before="120" w:after="120" w:line="240" w:lineRule="auto"/>
        <w:jc w:val="both"/>
        <w:rPr>
          <w:rFonts w:cstheme="minorHAnsi"/>
          <w:lang w:val="en-GB"/>
        </w:rPr>
      </w:pPr>
    </w:p>
    <w:p w14:paraId="5C5C2196" w14:textId="355B181D" w:rsidR="00D27E21" w:rsidRPr="0033055B" w:rsidRDefault="00D27E21" w:rsidP="00D27E21">
      <w:pPr>
        <w:spacing w:before="120" w:after="120" w:line="240" w:lineRule="auto"/>
        <w:jc w:val="both"/>
        <w:rPr>
          <w:rFonts w:cstheme="minorHAnsi"/>
        </w:rPr>
      </w:pPr>
      <w:r>
        <w:t>a)</w:t>
      </w:r>
      <w:r>
        <w:tab/>
        <w:t xml:space="preserve">Nuk ka të dhëna në dispozicion mbi nivelin e degradimit të tokave bujqësore dhe pyjore. Parandalimi i prerjeve të paregjistruara mund të promovohet, bashkë me praktikat e qëndrueshme të krasitjes së pyjeve, duke marrë parasysh studimin rajonal të ngrohjes me bazë biomase </w:t>
      </w:r>
      <w:r w:rsidR="00C35FA9">
        <w:rPr>
          <w:rStyle w:val="FootnoteReference"/>
          <w:lang w:val="en-GB"/>
        </w:rPr>
        <w:footnoteReference w:id="23"/>
      </w:r>
    </w:p>
    <w:p w14:paraId="55815587" w14:textId="77777777" w:rsidR="00D27E21" w:rsidRPr="0033055B" w:rsidRDefault="00D27E21" w:rsidP="00D27E21">
      <w:pPr>
        <w:spacing w:before="120" w:after="120" w:line="240" w:lineRule="auto"/>
        <w:jc w:val="both"/>
        <w:rPr>
          <w:rFonts w:cstheme="minorHAnsi"/>
          <w:lang w:val="en-GB"/>
        </w:rPr>
      </w:pPr>
    </w:p>
    <w:p w14:paraId="5DBAF44F" w14:textId="77777777" w:rsidR="00D27E21" w:rsidRPr="0033055B" w:rsidRDefault="00D27E21" w:rsidP="00D27E21">
      <w:pPr>
        <w:spacing w:before="120" w:after="120" w:line="240" w:lineRule="auto"/>
        <w:jc w:val="both"/>
        <w:rPr>
          <w:rFonts w:cstheme="minorHAnsi"/>
        </w:rPr>
      </w:pPr>
      <w:r>
        <w:t>b)</w:t>
      </w:r>
      <w:r>
        <w:tab/>
      </w:r>
      <w:r w:rsidRPr="002D4C1B">
        <w:t>Nuk ka të dhëna në dispozicion mbi sipërfaqen e tokës së punueshme djerrë.</w:t>
      </w:r>
      <w:r>
        <w:t xml:space="preserve"> </w:t>
      </w:r>
    </w:p>
    <w:p w14:paraId="683B537D" w14:textId="77777777" w:rsidR="00D27E21" w:rsidRPr="0033055B" w:rsidRDefault="00D27E21" w:rsidP="00D27E21">
      <w:pPr>
        <w:spacing w:before="120" w:after="120" w:line="240" w:lineRule="auto"/>
        <w:jc w:val="both"/>
        <w:rPr>
          <w:rFonts w:cstheme="minorHAnsi"/>
          <w:lang w:val="en-GB"/>
        </w:rPr>
      </w:pPr>
    </w:p>
    <w:p w14:paraId="46FEC59D" w14:textId="77777777" w:rsidR="00D27E21" w:rsidRPr="0033055B" w:rsidRDefault="00D27E21" w:rsidP="00D27E21">
      <w:pPr>
        <w:spacing w:before="120" w:after="120" w:line="240" w:lineRule="auto"/>
        <w:jc w:val="both"/>
        <w:rPr>
          <w:rFonts w:cstheme="minorHAnsi"/>
        </w:rPr>
      </w:pPr>
      <w:r>
        <w:t>c)</w:t>
      </w:r>
      <w:r>
        <w:tab/>
        <w:t xml:space="preserve">Nuk janë propozuar ende masat për inkurajimin e shfrytëzimit të tokave të papunueshme, tokës së degraduar, etj., për qëllim të kultivimit të kulturave energjetike. </w:t>
      </w:r>
    </w:p>
    <w:p w14:paraId="36F004C2" w14:textId="77777777" w:rsidR="00D27E21" w:rsidRPr="0033055B" w:rsidRDefault="00D27E21" w:rsidP="00D27E21">
      <w:pPr>
        <w:spacing w:before="120" w:after="120" w:line="240" w:lineRule="auto"/>
        <w:jc w:val="both"/>
        <w:rPr>
          <w:rFonts w:cstheme="minorHAnsi"/>
          <w:lang w:val="en-GB"/>
        </w:rPr>
      </w:pPr>
    </w:p>
    <w:p w14:paraId="30F34F75" w14:textId="77777777" w:rsidR="00D27E21" w:rsidRPr="0033055B" w:rsidRDefault="00D27E21" w:rsidP="00D27E21">
      <w:pPr>
        <w:spacing w:before="120" w:after="120" w:line="240" w:lineRule="auto"/>
        <w:jc w:val="both"/>
        <w:rPr>
          <w:rFonts w:cstheme="minorHAnsi"/>
        </w:rPr>
      </w:pPr>
      <w:r>
        <w:t>d)</w:t>
      </w:r>
      <w:r>
        <w:tab/>
        <w:t xml:space="preserve">Nuk planifikohet përdorimi i materialeve primare (si plehu shtazor) për qëllime energjie. </w:t>
      </w:r>
    </w:p>
    <w:p w14:paraId="013C1233" w14:textId="77777777" w:rsidR="00D27E21" w:rsidRPr="0033055B" w:rsidRDefault="00D27E21" w:rsidP="00D27E21">
      <w:pPr>
        <w:spacing w:before="120" w:after="120" w:line="240" w:lineRule="auto"/>
        <w:jc w:val="both"/>
        <w:rPr>
          <w:rFonts w:cstheme="minorHAnsi"/>
          <w:lang w:val="en-GB"/>
        </w:rPr>
      </w:pPr>
    </w:p>
    <w:p w14:paraId="7892E812" w14:textId="77777777" w:rsidR="00D27E21" w:rsidRPr="0033055B" w:rsidRDefault="00D27E21" w:rsidP="00D27E21">
      <w:pPr>
        <w:spacing w:before="120" w:after="120" w:line="240" w:lineRule="auto"/>
        <w:jc w:val="both"/>
        <w:rPr>
          <w:rFonts w:cstheme="minorHAnsi"/>
        </w:rPr>
      </w:pPr>
      <w:r>
        <w:t>e)</w:t>
      </w:r>
      <w:r>
        <w:tab/>
        <w:t xml:space="preserve">Inkurajimi i prodhimit dhe përdorimit të biogazit shtyhet përpara përmes politikave shtetërore - tarifa hyrëse për biogazin.  </w:t>
      </w:r>
    </w:p>
    <w:p w14:paraId="36DDE790" w14:textId="77777777" w:rsidR="00D27E21" w:rsidRPr="0033055B" w:rsidRDefault="00D27E21" w:rsidP="00D27E21">
      <w:pPr>
        <w:spacing w:before="120" w:after="120" w:line="240" w:lineRule="auto"/>
        <w:jc w:val="both"/>
        <w:rPr>
          <w:rFonts w:cstheme="minorHAnsi"/>
          <w:lang w:val="en-GB"/>
        </w:rPr>
      </w:pPr>
    </w:p>
    <w:p w14:paraId="7A09496A" w14:textId="77777777" w:rsidR="00D27E21" w:rsidRPr="0033055B" w:rsidRDefault="00D27E21" w:rsidP="00D27E21">
      <w:pPr>
        <w:spacing w:before="120" w:after="120" w:line="240" w:lineRule="auto"/>
        <w:jc w:val="both"/>
        <w:rPr>
          <w:rFonts w:cstheme="minorHAnsi"/>
        </w:rPr>
      </w:pPr>
      <w:r>
        <w:t>f)</w:t>
      </w:r>
      <w:r>
        <w:tab/>
        <w:t xml:space="preserve">Sa i përket planifikimit të masave për përmirësimin e teknikave të menaxhimit të pyjeve, Strategjia e Zhvillimit të Pylltarisë 2010-2020 parasheh një projekt për avancimin e menaxhimit pyjor. </w:t>
      </w:r>
    </w:p>
    <w:p w14:paraId="515259FF" w14:textId="77777777" w:rsidR="00D27E21" w:rsidRPr="0033055B" w:rsidRDefault="00D27E21" w:rsidP="00D27E21">
      <w:pPr>
        <w:spacing w:before="120" w:after="120" w:line="240" w:lineRule="auto"/>
        <w:jc w:val="both"/>
        <w:rPr>
          <w:rFonts w:cstheme="minorHAnsi"/>
        </w:rPr>
      </w:pPr>
      <w:r>
        <w:t xml:space="preserve"> </w:t>
      </w:r>
    </w:p>
    <w:p w14:paraId="5F537A74" w14:textId="77777777" w:rsidR="00D27E21" w:rsidRPr="0033055B" w:rsidRDefault="00D27E21" w:rsidP="00D27E21">
      <w:pPr>
        <w:spacing w:before="120" w:after="120" w:line="240" w:lineRule="auto"/>
        <w:jc w:val="both"/>
        <w:rPr>
          <w:rFonts w:cstheme="minorHAnsi"/>
        </w:rPr>
      </w:pPr>
      <w:r>
        <w:t xml:space="preserve">Ndikimi në sektorë të tjerë: </w:t>
      </w:r>
    </w:p>
    <w:p w14:paraId="208DA6C8" w14:textId="77777777" w:rsidR="00D27E21" w:rsidRPr="0033055B" w:rsidRDefault="00D27E21" w:rsidP="00D27E21">
      <w:pPr>
        <w:spacing w:before="120" w:after="120" w:line="240" w:lineRule="auto"/>
        <w:jc w:val="both"/>
        <w:rPr>
          <w:rFonts w:cstheme="minorHAnsi"/>
        </w:rPr>
      </w:pPr>
      <w:r>
        <w:t>a)</w:t>
      </w:r>
      <w:r>
        <w:tab/>
        <w:t xml:space="preserve">për momentin, nuk ekziston ndonjë skemë e monitorimit për ndikimin e biomasës së përdorur në gjenerimin e energjisë në sektorin e bujqësisë dhe pylltarisë. </w:t>
      </w:r>
    </w:p>
    <w:p w14:paraId="75441D0C" w14:textId="77777777" w:rsidR="00D27E21" w:rsidRPr="0033055B" w:rsidRDefault="00D27E21" w:rsidP="00D27E21">
      <w:pPr>
        <w:spacing w:before="120" w:after="120" w:line="240" w:lineRule="auto"/>
        <w:jc w:val="both"/>
        <w:rPr>
          <w:rFonts w:cstheme="minorHAnsi"/>
          <w:lang w:val="en-GB"/>
        </w:rPr>
      </w:pPr>
    </w:p>
    <w:p w14:paraId="511B3FC2" w14:textId="77777777" w:rsidR="005E4A0E" w:rsidRPr="0033055B" w:rsidRDefault="00D27E21" w:rsidP="00D27E21">
      <w:pPr>
        <w:spacing w:before="120" w:after="120" w:line="240" w:lineRule="auto"/>
        <w:jc w:val="both"/>
        <w:rPr>
          <w:rFonts w:cstheme="minorHAnsi"/>
        </w:rPr>
      </w:pPr>
      <w:r>
        <w:t>b)</w:t>
      </w:r>
      <w:r>
        <w:tab/>
        <w:t>Nuk ka informata në dispozicion mbi zhvillimet e pritura në sektorë të tjerë me bazë në bujqësi dhe pylltari, e që mund të kenë ndikim në shfrytëzimin për energji.</w:t>
      </w:r>
    </w:p>
    <w:p w14:paraId="1D69CC9F" w14:textId="77777777" w:rsidR="00217A2F" w:rsidRPr="0033055B" w:rsidRDefault="00217A2F" w:rsidP="005E4A0E">
      <w:pPr>
        <w:spacing w:before="120" w:after="120" w:line="240" w:lineRule="auto"/>
        <w:jc w:val="both"/>
        <w:rPr>
          <w:rFonts w:cstheme="minorHAnsi"/>
          <w:lang w:val="en-GB"/>
        </w:rPr>
      </w:pPr>
    </w:p>
    <w:p w14:paraId="7EDBACC0" w14:textId="2D238A85" w:rsidR="005E4A0E" w:rsidRPr="0033055B" w:rsidRDefault="005E4A0E" w:rsidP="00E565CD">
      <w:pPr>
        <w:pStyle w:val="Heading2"/>
      </w:pPr>
      <w:bookmarkStart w:id="37" w:name="_Toc518377689"/>
      <w:r>
        <w:t>4.7. Shfrytëzimi i planifikuar i transferimeve statistikore ndërmjet Shteteve Anëtare dhe pjesëmarrja e planifikuar në projekte të përbashkëta me Shtetet tjera Anëtare dhe vendet e treta</w:t>
      </w:r>
      <w:bookmarkEnd w:id="37"/>
    </w:p>
    <w:p w14:paraId="4C7F3C68" w14:textId="297BAF05" w:rsidR="00782666" w:rsidRPr="0033055B" w:rsidRDefault="00782666" w:rsidP="00782666">
      <w:pPr>
        <w:spacing w:before="120" w:after="120" w:line="240" w:lineRule="auto"/>
        <w:jc w:val="both"/>
        <w:rPr>
          <w:rFonts w:cstheme="minorHAnsi"/>
        </w:rPr>
      </w:pPr>
      <w:r>
        <w:t xml:space="preserve">Kosova ka përfshirë në legjislacionin e vet energjetik (Udhëzim qeveritar, 2013) një dispozitë për pjesëmarrje në transferimet statistikore dhe/ose skemat e përbashkëta të mbështetjes ndërmjet Palëve kontraktuese të Komunitetit të Energjisë. Ky legjislacion mund të aktivizohet për të arritur cakun prej 25% nëse prodhimi brenda vendit nuk mjafton. Skema do të mundësonte bashkëpunimin real me Palët tjera Kontraktuese të Komunitetit të </w:t>
      </w:r>
      <w:r w:rsidR="00023221">
        <w:t>Energjisë</w:t>
      </w:r>
      <w:r>
        <w:t>. Dispozitat për ta bërë të njëjtën gjë me shtetet anëtare të BE-së, pasi Kosova të hyjë në BE, ende mbeten të implementohen.</w:t>
      </w:r>
    </w:p>
    <w:p w14:paraId="483D48F5" w14:textId="77777777" w:rsidR="00782666" w:rsidRPr="0033055B" w:rsidRDefault="00782666" w:rsidP="00782666">
      <w:pPr>
        <w:spacing w:before="120" w:after="120" w:line="240" w:lineRule="auto"/>
        <w:jc w:val="both"/>
        <w:rPr>
          <w:rFonts w:cstheme="minorHAnsi"/>
        </w:rPr>
      </w:pPr>
      <w:r>
        <w:t>Neni 17 i Udhëzimit Administrativ për shfrytëzimin dhe mbështetjen e gjenerimit të energjisë nga burimet e ripërtërishme (nr. 06/2017) vendos kornizën për transferimet statistikore.</w:t>
      </w:r>
    </w:p>
    <w:p w14:paraId="7224BD69" w14:textId="77777777" w:rsidR="00782666" w:rsidRPr="0033055B" w:rsidRDefault="00782666" w:rsidP="00D27E21">
      <w:pPr>
        <w:spacing w:before="120" w:after="120" w:line="240" w:lineRule="auto"/>
        <w:jc w:val="both"/>
        <w:rPr>
          <w:rFonts w:cstheme="minorHAnsi"/>
          <w:lang w:val="en-GB"/>
        </w:rPr>
      </w:pPr>
    </w:p>
    <w:p w14:paraId="06836041" w14:textId="6276434B" w:rsidR="00D27E21" w:rsidRDefault="00C10B0C" w:rsidP="00D27E21">
      <w:pPr>
        <w:spacing w:before="120" w:after="120" w:line="240" w:lineRule="auto"/>
        <w:jc w:val="both"/>
        <w:rPr>
          <w:rFonts w:cstheme="minorHAnsi"/>
        </w:rPr>
      </w:pPr>
      <w:r>
        <w:t>Kosova mund të lidhë marrëveshje me palët kontraktuese të Komunitetit të Energjisë në bazë të transferimeve statistikore për një sasi të caktuar energjie të prodhuar nga burimet e ripërtërishme për të arritur cakun obligativ prej 25% më 2020. Marrëveshja për transferimin statistikor mund të jetë vjetore dhe shumëvjeçare, ndërsa Sekretariati i Komunitetit të Energjisë duhet njoftuar për këtë jo më vonë se tre (3) muaj, pas vitit në të cilin është bërë efektivisht transferimi statistikor. Informata duhet të përmbajë sasinë dhe çmimin e energjisë së transferuar.</w:t>
      </w:r>
    </w:p>
    <w:p w14:paraId="6FFFC0A5" w14:textId="69DA6A0C" w:rsidR="00C10B0C" w:rsidRPr="0033055B" w:rsidRDefault="00C10B0C" w:rsidP="00D27E21">
      <w:pPr>
        <w:spacing w:before="120" w:after="120" w:line="240" w:lineRule="auto"/>
        <w:jc w:val="both"/>
        <w:rPr>
          <w:rFonts w:cstheme="minorHAnsi"/>
        </w:rPr>
      </w:pPr>
      <w:r>
        <w:t>kalkulimi i sasisë së prodhuar nga burimet e ripërtërishme, sipas paragrafit 1 të këtij neni, ndërmjet palëve kontraktuese, duhet të jetë në pajtim me metodologjinë për përcaktimin e caqeve të energjisë nga burimet e ripërtërishme të energjisë dhe nuk duhet të ndikojë në përmbushjen e caqeve për burimet e ripërtërishme të energjisë të palëve të përfshira në transferimin statistikor. Specifikat e transferimeve statistikore përshkruhen në marrëveshjet mes palëve të këtij procesi.</w:t>
      </w:r>
    </w:p>
    <w:p w14:paraId="04879410" w14:textId="77777777" w:rsidR="005E4A0E" w:rsidRPr="0033055B" w:rsidRDefault="005E4A0E" w:rsidP="005E4A0E">
      <w:pPr>
        <w:spacing w:before="120" w:after="120" w:line="240" w:lineRule="auto"/>
        <w:jc w:val="both"/>
        <w:rPr>
          <w:rFonts w:cstheme="minorHAnsi"/>
          <w:lang w:val="en-GB"/>
        </w:rPr>
      </w:pPr>
    </w:p>
    <w:p w14:paraId="6047DA97" w14:textId="13092509" w:rsidR="00A967DB" w:rsidRPr="0033055B" w:rsidRDefault="00172498" w:rsidP="00455E08">
      <w:pPr>
        <w:spacing w:before="120" w:after="120" w:line="240" w:lineRule="auto"/>
        <w:jc w:val="center"/>
        <w:rPr>
          <w:rFonts w:cstheme="minorHAnsi"/>
          <w:b/>
        </w:rPr>
      </w:pPr>
      <w:bookmarkStart w:id="38" w:name="_Toc518377707"/>
      <w:r>
        <w:rPr>
          <w:rFonts w:ascii="Calibri" w:hAnsi="Calibri"/>
          <w:b/>
          <w:iCs/>
        </w:rPr>
        <w:t xml:space="preserve">Tabela </w:t>
      </w:r>
      <w:r w:rsidR="00724C64" w:rsidRPr="0033055B">
        <w:rPr>
          <w:rFonts w:ascii="Calibri" w:eastAsia="Calibri" w:hAnsi="Calibri"/>
          <w:b/>
          <w:iCs/>
        </w:rPr>
        <w:fldChar w:fldCharType="begin"/>
      </w:r>
      <w:r w:rsidRPr="0033055B">
        <w:rPr>
          <w:rFonts w:ascii="Calibri" w:eastAsia="Calibri" w:hAnsi="Calibri"/>
          <w:b/>
          <w:iCs/>
        </w:rPr>
        <w:instrText xml:space="preserve"> SEQ Table \* ARABIC </w:instrText>
      </w:r>
      <w:r w:rsidR="00724C64" w:rsidRPr="0033055B">
        <w:rPr>
          <w:rFonts w:ascii="Calibri" w:eastAsia="Calibri" w:hAnsi="Calibri"/>
          <w:b/>
          <w:iCs/>
        </w:rPr>
        <w:fldChar w:fldCharType="separate"/>
      </w:r>
      <w:r w:rsidR="00DC4741">
        <w:rPr>
          <w:rFonts w:ascii="Calibri" w:eastAsia="Calibri" w:hAnsi="Calibri"/>
          <w:b/>
          <w:iCs/>
          <w:noProof/>
        </w:rPr>
        <w:t>15</w:t>
      </w:r>
      <w:r w:rsidR="00724C64" w:rsidRPr="0033055B">
        <w:rPr>
          <w:rFonts w:ascii="Calibri" w:eastAsia="Calibri" w:hAnsi="Calibri"/>
          <w:b/>
          <w:iCs/>
        </w:rPr>
        <w:fldChar w:fldCharType="end"/>
      </w:r>
      <w:r>
        <w:rPr>
          <w:b/>
        </w:rPr>
        <w:t>: Prodhimi i vlerësuar i tepërt dhe/ose i mangët i energjisë së ripërtërishme, krahasuar me trajektoren indikative, që mund të transferohen në/nga Shtetet tjera Anëtare në Kosovë.</w:t>
      </w:r>
      <w:bookmarkEnd w:id="38"/>
    </w:p>
    <w:tbl>
      <w:tblPr>
        <w:tblW w:w="5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1835"/>
        <w:gridCol w:w="755"/>
        <w:gridCol w:w="755"/>
        <w:gridCol w:w="755"/>
        <w:gridCol w:w="755"/>
        <w:gridCol w:w="755"/>
      </w:tblGrid>
      <w:tr w:rsidR="00CC5F9E" w:rsidRPr="0033055B" w14:paraId="6BC8C6A0" w14:textId="77777777" w:rsidTr="00053368">
        <w:trPr>
          <w:trHeight w:val="516"/>
          <w:jc w:val="center"/>
        </w:trPr>
        <w:tc>
          <w:tcPr>
            <w:tcW w:w="1835" w:type="dxa"/>
            <w:shd w:val="clear" w:color="auto" w:fill="D9D9D9" w:themeFill="background1" w:themeFillShade="D9"/>
          </w:tcPr>
          <w:p w14:paraId="3F99B636" w14:textId="77777777" w:rsidR="00CC5F9E" w:rsidRPr="0033055B" w:rsidRDefault="00CC5F9E" w:rsidP="00FF07DC">
            <w:pPr>
              <w:suppressAutoHyphens/>
              <w:snapToGrid w:val="0"/>
              <w:spacing w:after="0" w:line="240" w:lineRule="auto"/>
              <w:jc w:val="center"/>
              <w:rPr>
                <w:rFonts w:eastAsia="Times New Roman" w:cstheme="minorHAnsi"/>
                <w:b/>
                <w:bCs/>
                <w:iCs/>
              </w:rPr>
            </w:pPr>
            <w:r>
              <w:rPr>
                <w:b/>
                <w:bCs/>
                <w:iCs/>
              </w:rPr>
              <w:t>ktoe</w:t>
            </w:r>
          </w:p>
        </w:tc>
        <w:tc>
          <w:tcPr>
            <w:tcW w:w="755" w:type="dxa"/>
            <w:shd w:val="clear" w:color="auto" w:fill="D9D9D9" w:themeFill="background1" w:themeFillShade="D9"/>
          </w:tcPr>
          <w:p w14:paraId="7229E305" w14:textId="77777777" w:rsidR="00CC5F9E" w:rsidRPr="0033055B" w:rsidRDefault="00CC5F9E" w:rsidP="00FF07DC">
            <w:pPr>
              <w:suppressAutoHyphens/>
              <w:snapToGrid w:val="0"/>
              <w:spacing w:after="0" w:line="240" w:lineRule="auto"/>
              <w:jc w:val="center"/>
              <w:rPr>
                <w:rFonts w:eastAsia="Times New Roman" w:cstheme="minorHAnsi"/>
                <w:b/>
                <w:bCs/>
                <w:iCs/>
              </w:rPr>
            </w:pPr>
            <w:r>
              <w:rPr>
                <w:b/>
                <w:bCs/>
                <w:iCs/>
              </w:rPr>
              <w:t>2016</w:t>
            </w:r>
          </w:p>
        </w:tc>
        <w:tc>
          <w:tcPr>
            <w:tcW w:w="755" w:type="dxa"/>
            <w:shd w:val="clear" w:color="auto" w:fill="D9D9D9" w:themeFill="background1" w:themeFillShade="D9"/>
          </w:tcPr>
          <w:p w14:paraId="4BF73119" w14:textId="77777777" w:rsidR="00CC5F9E" w:rsidRPr="0033055B" w:rsidRDefault="00CC5F9E" w:rsidP="00FF07DC">
            <w:pPr>
              <w:suppressAutoHyphens/>
              <w:snapToGrid w:val="0"/>
              <w:spacing w:after="0" w:line="240" w:lineRule="auto"/>
              <w:jc w:val="center"/>
              <w:rPr>
                <w:rFonts w:eastAsia="Times New Roman" w:cstheme="minorHAnsi"/>
                <w:b/>
                <w:bCs/>
                <w:iCs/>
              </w:rPr>
            </w:pPr>
            <w:r>
              <w:rPr>
                <w:b/>
                <w:bCs/>
                <w:iCs/>
              </w:rPr>
              <w:t>2017</w:t>
            </w:r>
          </w:p>
        </w:tc>
        <w:tc>
          <w:tcPr>
            <w:tcW w:w="755" w:type="dxa"/>
            <w:shd w:val="clear" w:color="auto" w:fill="D9D9D9" w:themeFill="background1" w:themeFillShade="D9"/>
          </w:tcPr>
          <w:p w14:paraId="652376B4" w14:textId="77777777" w:rsidR="00CC5F9E" w:rsidRPr="0033055B" w:rsidRDefault="00CC5F9E" w:rsidP="00FF07DC">
            <w:pPr>
              <w:suppressAutoHyphens/>
              <w:snapToGrid w:val="0"/>
              <w:spacing w:after="0" w:line="240" w:lineRule="auto"/>
              <w:jc w:val="center"/>
              <w:rPr>
                <w:rFonts w:eastAsia="Times New Roman" w:cstheme="minorHAnsi"/>
                <w:b/>
                <w:bCs/>
                <w:iCs/>
              </w:rPr>
            </w:pPr>
            <w:r>
              <w:rPr>
                <w:b/>
                <w:bCs/>
                <w:iCs/>
              </w:rPr>
              <w:t>2018</w:t>
            </w:r>
          </w:p>
        </w:tc>
        <w:tc>
          <w:tcPr>
            <w:tcW w:w="755" w:type="dxa"/>
            <w:shd w:val="clear" w:color="auto" w:fill="D9D9D9" w:themeFill="background1" w:themeFillShade="D9"/>
          </w:tcPr>
          <w:p w14:paraId="1C8DC371" w14:textId="77777777" w:rsidR="00CC5F9E" w:rsidRPr="0033055B" w:rsidRDefault="00CC5F9E" w:rsidP="00FF07DC">
            <w:pPr>
              <w:suppressAutoHyphens/>
              <w:snapToGrid w:val="0"/>
              <w:spacing w:after="0" w:line="240" w:lineRule="auto"/>
              <w:jc w:val="center"/>
              <w:rPr>
                <w:rFonts w:eastAsia="Times New Roman" w:cstheme="minorHAnsi"/>
                <w:b/>
                <w:bCs/>
                <w:iCs/>
              </w:rPr>
            </w:pPr>
            <w:r>
              <w:rPr>
                <w:b/>
                <w:bCs/>
                <w:iCs/>
              </w:rPr>
              <w:t>2019</w:t>
            </w:r>
          </w:p>
        </w:tc>
        <w:tc>
          <w:tcPr>
            <w:tcW w:w="755" w:type="dxa"/>
            <w:shd w:val="clear" w:color="auto" w:fill="D9D9D9" w:themeFill="background1" w:themeFillShade="D9"/>
          </w:tcPr>
          <w:p w14:paraId="058F76AF" w14:textId="77777777" w:rsidR="00CC5F9E" w:rsidRPr="0033055B" w:rsidRDefault="00CC5F9E" w:rsidP="00FF07DC">
            <w:pPr>
              <w:suppressAutoHyphens/>
              <w:snapToGrid w:val="0"/>
              <w:spacing w:after="0" w:line="240" w:lineRule="auto"/>
              <w:jc w:val="center"/>
              <w:rPr>
                <w:rFonts w:eastAsia="Times New Roman" w:cstheme="minorHAnsi"/>
                <w:b/>
                <w:bCs/>
                <w:iCs/>
              </w:rPr>
            </w:pPr>
            <w:r>
              <w:rPr>
                <w:b/>
                <w:bCs/>
                <w:iCs/>
              </w:rPr>
              <w:t>2020</w:t>
            </w:r>
          </w:p>
        </w:tc>
      </w:tr>
      <w:tr w:rsidR="00CC5F9E" w:rsidRPr="0033055B" w14:paraId="72F52543" w14:textId="77777777" w:rsidTr="00053368">
        <w:trPr>
          <w:trHeight w:val="656"/>
          <w:jc w:val="center"/>
        </w:trPr>
        <w:tc>
          <w:tcPr>
            <w:tcW w:w="1835" w:type="dxa"/>
            <w:shd w:val="clear" w:color="auto" w:fill="FFFFFF" w:themeFill="background1"/>
            <w:vAlign w:val="center"/>
          </w:tcPr>
          <w:p w14:paraId="1078EB07" w14:textId="77777777" w:rsidR="00CC5F9E" w:rsidRPr="0033055B" w:rsidRDefault="00CC5F9E" w:rsidP="00FF07DC">
            <w:pPr>
              <w:suppressAutoHyphens/>
              <w:snapToGrid w:val="0"/>
              <w:spacing w:after="0" w:line="240" w:lineRule="auto"/>
              <w:rPr>
                <w:rFonts w:eastAsia="Times New Roman" w:cstheme="minorHAnsi"/>
                <w:bCs/>
                <w:iCs/>
              </w:rPr>
            </w:pPr>
            <w:r>
              <w:t>Suficiti i vlerësuar në dokumentin e prognozës</w:t>
            </w:r>
          </w:p>
        </w:tc>
        <w:tc>
          <w:tcPr>
            <w:tcW w:w="755" w:type="dxa"/>
            <w:shd w:val="clear" w:color="auto" w:fill="FFFFFF" w:themeFill="background1"/>
            <w:vAlign w:val="center"/>
          </w:tcPr>
          <w:p w14:paraId="2AD639AF" w14:textId="064F4451" w:rsidR="00CC5F9E" w:rsidRPr="0033055B" w:rsidRDefault="00CC5F9E" w:rsidP="00FF07DC">
            <w:pPr>
              <w:spacing w:after="0" w:line="240" w:lineRule="auto"/>
              <w:jc w:val="center"/>
              <w:rPr>
                <w:rFonts w:eastAsia="Times New Roman" w:cstheme="minorHAnsi"/>
              </w:rPr>
            </w:pPr>
            <w:r>
              <w:t>0</w:t>
            </w:r>
          </w:p>
        </w:tc>
        <w:tc>
          <w:tcPr>
            <w:tcW w:w="755" w:type="dxa"/>
            <w:shd w:val="clear" w:color="auto" w:fill="FFFFFF" w:themeFill="background1"/>
            <w:vAlign w:val="center"/>
          </w:tcPr>
          <w:p w14:paraId="776FBEE5" w14:textId="5B50C3B7" w:rsidR="00CC5F9E" w:rsidRPr="0033055B" w:rsidRDefault="00CC5F9E" w:rsidP="00FF07DC">
            <w:pPr>
              <w:spacing w:after="0" w:line="240" w:lineRule="auto"/>
              <w:jc w:val="center"/>
              <w:rPr>
                <w:rFonts w:eastAsia="Times New Roman" w:cstheme="minorHAnsi"/>
              </w:rPr>
            </w:pPr>
            <w:r>
              <w:t>0</w:t>
            </w:r>
          </w:p>
        </w:tc>
        <w:tc>
          <w:tcPr>
            <w:tcW w:w="755" w:type="dxa"/>
            <w:shd w:val="clear" w:color="auto" w:fill="FFFFFF" w:themeFill="background1"/>
            <w:vAlign w:val="center"/>
          </w:tcPr>
          <w:p w14:paraId="14FB4C9B" w14:textId="04325340" w:rsidR="00CC5F9E" w:rsidRPr="0033055B" w:rsidRDefault="00CC5F9E" w:rsidP="00FF07DC">
            <w:pPr>
              <w:spacing w:after="0" w:line="240" w:lineRule="auto"/>
              <w:jc w:val="center"/>
              <w:rPr>
                <w:rFonts w:eastAsia="Times New Roman" w:cstheme="minorHAnsi"/>
              </w:rPr>
            </w:pPr>
            <w:r>
              <w:t>0</w:t>
            </w:r>
          </w:p>
        </w:tc>
        <w:tc>
          <w:tcPr>
            <w:tcW w:w="755" w:type="dxa"/>
            <w:shd w:val="clear" w:color="auto" w:fill="FFFFFF" w:themeFill="background1"/>
            <w:vAlign w:val="center"/>
          </w:tcPr>
          <w:p w14:paraId="07B6A211" w14:textId="1AB5DFE1" w:rsidR="00CC5F9E" w:rsidRPr="0033055B" w:rsidRDefault="00CC5F9E" w:rsidP="00FF07DC">
            <w:pPr>
              <w:spacing w:after="0" w:line="240" w:lineRule="auto"/>
              <w:jc w:val="center"/>
              <w:rPr>
                <w:rFonts w:eastAsia="Times New Roman" w:cstheme="minorHAnsi"/>
              </w:rPr>
            </w:pPr>
            <w:r>
              <w:t>0</w:t>
            </w:r>
          </w:p>
        </w:tc>
        <w:tc>
          <w:tcPr>
            <w:tcW w:w="755" w:type="dxa"/>
            <w:shd w:val="clear" w:color="auto" w:fill="FFFFFF" w:themeFill="background1"/>
            <w:vAlign w:val="center"/>
          </w:tcPr>
          <w:p w14:paraId="04740BCB" w14:textId="7B3FB75A" w:rsidR="00CC5F9E" w:rsidRPr="0033055B" w:rsidRDefault="00CC5F9E" w:rsidP="00FF07DC">
            <w:pPr>
              <w:spacing w:after="0" w:line="240" w:lineRule="auto"/>
              <w:jc w:val="center"/>
              <w:rPr>
                <w:rFonts w:eastAsia="Times New Roman" w:cstheme="minorHAnsi"/>
              </w:rPr>
            </w:pPr>
            <w:r>
              <w:t>0</w:t>
            </w:r>
          </w:p>
        </w:tc>
      </w:tr>
      <w:tr w:rsidR="00CC5F9E" w:rsidRPr="0033055B" w14:paraId="20734BD2" w14:textId="77777777" w:rsidTr="00053368">
        <w:trPr>
          <w:trHeight w:val="656"/>
          <w:jc w:val="center"/>
        </w:trPr>
        <w:tc>
          <w:tcPr>
            <w:tcW w:w="1835" w:type="dxa"/>
            <w:shd w:val="clear" w:color="auto" w:fill="FFFFFF" w:themeFill="background1"/>
            <w:vAlign w:val="center"/>
          </w:tcPr>
          <w:p w14:paraId="41A37639" w14:textId="5D0FE889" w:rsidR="00CC5F9E" w:rsidRPr="0033055B" w:rsidRDefault="00CC5F9E" w:rsidP="00FF07DC">
            <w:pPr>
              <w:suppressAutoHyphens/>
              <w:snapToGrid w:val="0"/>
              <w:spacing w:after="0" w:line="240" w:lineRule="auto"/>
              <w:rPr>
                <w:rFonts w:eastAsia="Times New Roman" w:cstheme="minorHAnsi"/>
              </w:rPr>
            </w:pPr>
            <w:r>
              <w:rPr>
                <w:b/>
                <w:bCs/>
                <w:iCs/>
              </w:rPr>
              <w:t xml:space="preserve">Suficiti i vlerësuar në </w:t>
            </w:r>
            <w:r w:rsidR="002D4C1B">
              <w:rPr>
                <w:b/>
                <w:bCs/>
                <w:iCs/>
                <w:color w:val="C00000"/>
              </w:rPr>
              <w:t>PKVBRE</w:t>
            </w:r>
          </w:p>
        </w:tc>
        <w:tc>
          <w:tcPr>
            <w:tcW w:w="755" w:type="dxa"/>
            <w:shd w:val="clear" w:color="auto" w:fill="FFFFFF" w:themeFill="background1"/>
            <w:vAlign w:val="center"/>
          </w:tcPr>
          <w:p w14:paraId="66A03F44" w14:textId="113039A4" w:rsidR="00CC5F9E" w:rsidRPr="0033055B" w:rsidRDefault="00CC5F9E" w:rsidP="00FF07DC">
            <w:pPr>
              <w:spacing w:after="0" w:line="240" w:lineRule="auto"/>
              <w:jc w:val="center"/>
              <w:rPr>
                <w:rFonts w:eastAsia="Times New Roman" w:cstheme="minorHAnsi"/>
                <w:b/>
              </w:rPr>
            </w:pPr>
            <w:r>
              <w:rPr>
                <w:b/>
              </w:rPr>
              <w:t>0</w:t>
            </w:r>
          </w:p>
        </w:tc>
        <w:tc>
          <w:tcPr>
            <w:tcW w:w="755" w:type="dxa"/>
            <w:shd w:val="clear" w:color="auto" w:fill="FFFFFF" w:themeFill="background1"/>
            <w:vAlign w:val="center"/>
          </w:tcPr>
          <w:p w14:paraId="2CA80333" w14:textId="544B3064" w:rsidR="00CC5F9E" w:rsidRPr="0033055B" w:rsidRDefault="00CC5F9E" w:rsidP="00FF07DC">
            <w:pPr>
              <w:spacing w:after="0" w:line="240" w:lineRule="auto"/>
              <w:jc w:val="center"/>
              <w:rPr>
                <w:rFonts w:eastAsia="Times New Roman" w:cstheme="minorHAnsi"/>
                <w:b/>
              </w:rPr>
            </w:pPr>
            <w:r>
              <w:rPr>
                <w:b/>
              </w:rPr>
              <w:t>0</w:t>
            </w:r>
          </w:p>
        </w:tc>
        <w:tc>
          <w:tcPr>
            <w:tcW w:w="755" w:type="dxa"/>
            <w:shd w:val="clear" w:color="auto" w:fill="FFFFFF" w:themeFill="background1"/>
            <w:vAlign w:val="center"/>
          </w:tcPr>
          <w:p w14:paraId="448F79CB" w14:textId="37A2B360" w:rsidR="00CC5F9E" w:rsidRPr="0033055B" w:rsidRDefault="00CC5F9E" w:rsidP="00FF07DC">
            <w:pPr>
              <w:spacing w:after="0" w:line="240" w:lineRule="auto"/>
              <w:jc w:val="center"/>
              <w:rPr>
                <w:rFonts w:eastAsia="Times New Roman" w:cstheme="minorHAnsi"/>
                <w:b/>
              </w:rPr>
            </w:pPr>
            <w:r>
              <w:rPr>
                <w:b/>
              </w:rPr>
              <w:t>0</w:t>
            </w:r>
          </w:p>
        </w:tc>
        <w:tc>
          <w:tcPr>
            <w:tcW w:w="755" w:type="dxa"/>
            <w:shd w:val="clear" w:color="auto" w:fill="FFFFFF" w:themeFill="background1"/>
            <w:vAlign w:val="center"/>
          </w:tcPr>
          <w:p w14:paraId="4F403869" w14:textId="76D96E05" w:rsidR="00CC5F9E" w:rsidRPr="0033055B" w:rsidRDefault="00CC5F9E" w:rsidP="00FF07DC">
            <w:pPr>
              <w:spacing w:after="0" w:line="240" w:lineRule="auto"/>
              <w:jc w:val="center"/>
              <w:rPr>
                <w:rFonts w:eastAsia="Times New Roman" w:cstheme="minorHAnsi"/>
                <w:b/>
              </w:rPr>
            </w:pPr>
            <w:r>
              <w:rPr>
                <w:b/>
              </w:rPr>
              <w:t>0</w:t>
            </w:r>
          </w:p>
        </w:tc>
        <w:tc>
          <w:tcPr>
            <w:tcW w:w="755" w:type="dxa"/>
            <w:shd w:val="clear" w:color="auto" w:fill="FFFFFF" w:themeFill="background1"/>
            <w:vAlign w:val="center"/>
          </w:tcPr>
          <w:p w14:paraId="6DC101E9" w14:textId="206DD29A" w:rsidR="00CC5F9E" w:rsidRPr="0033055B" w:rsidRDefault="00CC5F9E" w:rsidP="00FF07DC">
            <w:pPr>
              <w:spacing w:after="0" w:line="240" w:lineRule="auto"/>
              <w:jc w:val="center"/>
              <w:rPr>
                <w:rFonts w:eastAsia="Times New Roman" w:cstheme="minorHAnsi"/>
                <w:b/>
              </w:rPr>
            </w:pPr>
            <w:r>
              <w:rPr>
                <w:b/>
              </w:rPr>
              <w:t>0</w:t>
            </w:r>
          </w:p>
        </w:tc>
      </w:tr>
      <w:tr w:rsidR="00CC5F9E" w:rsidRPr="0033055B" w14:paraId="5A795D82" w14:textId="77777777" w:rsidTr="00053368">
        <w:trPr>
          <w:trHeight w:val="679"/>
          <w:jc w:val="center"/>
        </w:trPr>
        <w:tc>
          <w:tcPr>
            <w:tcW w:w="1835" w:type="dxa"/>
            <w:shd w:val="clear" w:color="auto" w:fill="FFFFFF" w:themeFill="background1"/>
            <w:vAlign w:val="center"/>
          </w:tcPr>
          <w:p w14:paraId="02307AA7" w14:textId="77777777" w:rsidR="00CC5F9E" w:rsidRPr="0033055B" w:rsidRDefault="00CC5F9E" w:rsidP="00FF07DC">
            <w:pPr>
              <w:suppressAutoHyphens/>
              <w:snapToGrid w:val="0"/>
              <w:spacing w:after="0" w:line="240" w:lineRule="auto"/>
              <w:rPr>
                <w:rFonts w:eastAsia="Times New Roman" w:cstheme="minorHAnsi"/>
                <w:bCs/>
                <w:iCs/>
              </w:rPr>
            </w:pPr>
            <w:r>
              <w:t>Deficiti i vlerësuar në dokumentin e prognozës</w:t>
            </w:r>
          </w:p>
        </w:tc>
        <w:tc>
          <w:tcPr>
            <w:tcW w:w="755" w:type="dxa"/>
            <w:shd w:val="clear" w:color="auto" w:fill="FFFFFF" w:themeFill="background1"/>
            <w:vAlign w:val="center"/>
          </w:tcPr>
          <w:p w14:paraId="5ABBC568" w14:textId="07FDCC69" w:rsidR="00CC5F9E" w:rsidRPr="002B5257" w:rsidRDefault="00FF26DA" w:rsidP="00053368">
            <w:pPr>
              <w:spacing w:after="0" w:line="240" w:lineRule="auto"/>
              <w:jc w:val="center"/>
              <w:rPr>
                <w:rFonts w:eastAsia="Times New Roman" w:cstheme="minorHAnsi"/>
                <w:color w:val="C00000"/>
              </w:rPr>
            </w:pPr>
            <w:r w:rsidRPr="002B5257">
              <w:rPr>
                <w:color w:val="C00000"/>
              </w:rPr>
              <w:t>NA</w:t>
            </w:r>
          </w:p>
        </w:tc>
        <w:tc>
          <w:tcPr>
            <w:tcW w:w="755" w:type="dxa"/>
            <w:shd w:val="clear" w:color="auto" w:fill="FFFFFF" w:themeFill="background1"/>
            <w:vAlign w:val="center"/>
          </w:tcPr>
          <w:p w14:paraId="70911CDE" w14:textId="36872D8F" w:rsidR="00CC5F9E" w:rsidRPr="002B5257" w:rsidRDefault="00FF26DA" w:rsidP="00053368">
            <w:pPr>
              <w:spacing w:after="0" w:line="240" w:lineRule="auto"/>
              <w:jc w:val="center"/>
              <w:rPr>
                <w:rFonts w:eastAsia="Times New Roman" w:cstheme="minorHAnsi"/>
                <w:color w:val="C00000"/>
              </w:rPr>
            </w:pPr>
            <w:r w:rsidRPr="002B5257">
              <w:rPr>
                <w:color w:val="C00000"/>
              </w:rPr>
              <w:t>NA</w:t>
            </w:r>
          </w:p>
        </w:tc>
        <w:tc>
          <w:tcPr>
            <w:tcW w:w="755" w:type="dxa"/>
            <w:shd w:val="clear" w:color="auto" w:fill="FFFFFF" w:themeFill="background1"/>
            <w:vAlign w:val="center"/>
          </w:tcPr>
          <w:p w14:paraId="0A0D54AE" w14:textId="5E091407" w:rsidR="00CC5F9E" w:rsidRPr="002B5257" w:rsidRDefault="00FF26DA" w:rsidP="00053368">
            <w:pPr>
              <w:spacing w:after="0" w:line="240" w:lineRule="auto"/>
              <w:jc w:val="center"/>
              <w:rPr>
                <w:rFonts w:eastAsia="Times New Roman" w:cstheme="minorHAnsi"/>
                <w:color w:val="C00000"/>
              </w:rPr>
            </w:pPr>
            <w:r w:rsidRPr="002B5257">
              <w:rPr>
                <w:color w:val="C00000"/>
              </w:rPr>
              <w:t>NA</w:t>
            </w:r>
          </w:p>
        </w:tc>
        <w:tc>
          <w:tcPr>
            <w:tcW w:w="755" w:type="dxa"/>
            <w:shd w:val="clear" w:color="auto" w:fill="FFFFFF" w:themeFill="background1"/>
            <w:vAlign w:val="center"/>
          </w:tcPr>
          <w:p w14:paraId="3C765D92" w14:textId="4706CBB3" w:rsidR="00CC5F9E" w:rsidRPr="002B5257" w:rsidRDefault="00FF26DA" w:rsidP="00053368">
            <w:pPr>
              <w:spacing w:after="0" w:line="240" w:lineRule="auto"/>
              <w:jc w:val="center"/>
              <w:rPr>
                <w:rFonts w:eastAsia="Times New Roman" w:cstheme="minorHAnsi"/>
                <w:color w:val="C00000"/>
              </w:rPr>
            </w:pPr>
            <w:r w:rsidRPr="002B5257">
              <w:rPr>
                <w:color w:val="C00000"/>
              </w:rPr>
              <w:t>NA</w:t>
            </w:r>
          </w:p>
        </w:tc>
        <w:tc>
          <w:tcPr>
            <w:tcW w:w="755" w:type="dxa"/>
            <w:shd w:val="clear" w:color="auto" w:fill="FFFFFF" w:themeFill="background1"/>
            <w:vAlign w:val="center"/>
          </w:tcPr>
          <w:p w14:paraId="23F07305" w14:textId="1689FCFA" w:rsidR="00CC5F9E" w:rsidRPr="002B5257" w:rsidRDefault="00FF26DA" w:rsidP="00053368">
            <w:pPr>
              <w:spacing w:after="0" w:line="240" w:lineRule="auto"/>
              <w:jc w:val="center"/>
              <w:rPr>
                <w:rFonts w:eastAsia="Times New Roman" w:cstheme="minorHAnsi"/>
                <w:color w:val="C00000"/>
              </w:rPr>
            </w:pPr>
            <w:r w:rsidRPr="002B5257">
              <w:rPr>
                <w:color w:val="C00000"/>
              </w:rPr>
              <w:t>NA</w:t>
            </w:r>
          </w:p>
        </w:tc>
      </w:tr>
      <w:tr w:rsidR="00CC5F9E" w:rsidRPr="0033055B" w14:paraId="5E960981" w14:textId="77777777" w:rsidTr="00053368">
        <w:trPr>
          <w:trHeight w:val="703"/>
          <w:jc w:val="center"/>
        </w:trPr>
        <w:tc>
          <w:tcPr>
            <w:tcW w:w="1835" w:type="dxa"/>
            <w:shd w:val="clear" w:color="auto" w:fill="FFFFFF" w:themeFill="background1"/>
            <w:vAlign w:val="center"/>
          </w:tcPr>
          <w:p w14:paraId="7D052422" w14:textId="071C204D" w:rsidR="00CC5F9E" w:rsidRPr="0033055B" w:rsidRDefault="00CC5F9E" w:rsidP="00FF07DC">
            <w:pPr>
              <w:suppressAutoHyphens/>
              <w:snapToGrid w:val="0"/>
              <w:spacing w:after="0" w:line="240" w:lineRule="auto"/>
              <w:rPr>
                <w:rFonts w:eastAsia="Times New Roman" w:cstheme="minorHAnsi"/>
              </w:rPr>
            </w:pPr>
            <w:r>
              <w:rPr>
                <w:b/>
                <w:bCs/>
                <w:iCs/>
              </w:rPr>
              <w:t xml:space="preserve">Deficiti i vlerësuar në </w:t>
            </w:r>
            <w:r w:rsidR="002D4C1B">
              <w:rPr>
                <w:b/>
                <w:bCs/>
                <w:iCs/>
                <w:color w:val="C00000"/>
              </w:rPr>
              <w:t>PKVBRE</w:t>
            </w:r>
          </w:p>
        </w:tc>
        <w:tc>
          <w:tcPr>
            <w:tcW w:w="755" w:type="dxa"/>
            <w:shd w:val="clear" w:color="auto" w:fill="FFFFFF" w:themeFill="background1"/>
            <w:vAlign w:val="center"/>
          </w:tcPr>
          <w:p w14:paraId="00177DE3" w14:textId="3477BF57" w:rsidR="00CC5F9E" w:rsidRPr="0033055B" w:rsidRDefault="00FF26DA" w:rsidP="00053368">
            <w:pPr>
              <w:spacing w:after="0" w:line="240" w:lineRule="auto"/>
              <w:jc w:val="center"/>
              <w:rPr>
                <w:rFonts w:eastAsia="Times New Roman" w:cstheme="minorHAnsi"/>
              </w:rPr>
            </w:pPr>
            <w:r>
              <w:t>142</w:t>
            </w:r>
          </w:p>
        </w:tc>
        <w:tc>
          <w:tcPr>
            <w:tcW w:w="755" w:type="dxa"/>
            <w:shd w:val="clear" w:color="auto" w:fill="FFFFFF" w:themeFill="background1"/>
            <w:vAlign w:val="center"/>
          </w:tcPr>
          <w:p w14:paraId="204529A2" w14:textId="735E1DE8" w:rsidR="00CC5F9E" w:rsidRPr="0033055B" w:rsidRDefault="00FF26DA" w:rsidP="00053368">
            <w:pPr>
              <w:spacing w:after="0" w:line="240" w:lineRule="auto"/>
              <w:jc w:val="center"/>
              <w:rPr>
                <w:rFonts w:eastAsia="Times New Roman" w:cstheme="minorHAnsi"/>
              </w:rPr>
            </w:pPr>
            <w:r>
              <w:t>142</w:t>
            </w:r>
          </w:p>
        </w:tc>
        <w:tc>
          <w:tcPr>
            <w:tcW w:w="755" w:type="dxa"/>
            <w:shd w:val="clear" w:color="auto" w:fill="FFFFFF" w:themeFill="background1"/>
            <w:vAlign w:val="center"/>
          </w:tcPr>
          <w:p w14:paraId="185B003A" w14:textId="1994F63E" w:rsidR="00CC5F9E" w:rsidRPr="0033055B" w:rsidRDefault="00FF26DA" w:rsidP="00053368">
            <w:pPr>
              <w:spacing w:after="0" w:line="240" w:lineRule="auto"/>
              <w:jc w:val="center"/>
              <w:rPr>
                <w:rFonts w:eastAsia="Times New Roman" w:cstheme="minorHAnsi"/>
              </w:rPr>
            </w:pPr>
            <w:r>
              <w:t>107</w:t>
            </w:r>
          </w:p>
        </w:tc>
        <w:tc>
          <w:tcPr>
            <w:tcW w:w="755" w:type="dxa"/>
            <w:shd w:val="clear" w:color="auto" w:fill="FFFFFF" w:themeFill="background1"/>
            <w:vAlign w:val="center"/>
          </w:tcPr>
          <w:p w14:paraId="7624600C" w14:textId="24D5CFC3" w:rsidR="00CC5F9E" w:rsidRPr="0033055B" w:rsidRDefault="00FF26DA" w:rsidP="00053368">
            <w:pPr>
              <w:spacing w:after="0" w:line="240" w:lineRule="auto"/>
              <w:jc w:val="center"/>
              <w:rPr>
                <w:rFonts w:eastAsia="Times New Roman" w:cstheme="minorHAnsi"/>
              </w:rPr>
            </w:pPr>
            <w:r>
              <w:t>74</w:t>
            </w:r>
          </w:p>
        </w:tc>
        <w:tc>
          <w:tcPr>
            <w:tcW w:w="755" w:type="dxa"/>
            <w:shd w:val="clear" w:color="auto" w:fill="FFFFFF" w:themeFill="background1"/>
            <w:vAlign w:val="center"/>
          </w:tcPr>
          <w:p w14:paraId="6C85A84A" w14:textId="40511241" w:rsidR="00CC5F9E" w:rsidRPr="0033055B" w:rsidRDefault="00FF26DA" w:rsidP="00053368">
            <w:pPr>
              <w:spacing w:after="0" w:line="240" w:lineRule="auto"/>
              <w:jc w:val="center"/>
              <w:rPr>
                <w:rFonts w:eastAsia="Times New Roman" w:cstheme="minorHAnsi"/>
              </w:rPr>
            </w:pPr>
            <w:r>
              <w:t>0</w:t>
            </w:r>
          </w:p>
        </w:tc>
      </w:tr>
    </w:tbl>
    <w:p w14:paraId="3CF785FC" w14:textId="77777777" w:rsidR="003A4FE5" w:rsidRPr="0033055B" w:rsidRDefault="003A4FE5" w:rsidP="005E4A0E">
      <w:pPr>
        <w:spacing w:before="120" w:after="120" w:line="240" w:lineRule="auto"/>
        <w:jc w:val="both"/>
        <w:rPr>
          <w:rFonts w:cstheme="minorHAnsi"/>
          <w:lang w:val="en-GB"/>
        </w:rPr>
        <w:sectPr w:rsidR="003A4FE5" w:rsidRPr="0033055B">
          <w:footerReference w:type="even" r:id="rId12"/>
          <w:footerReference w:type="default" r:id="rId13"/>
          <w:footerReference w:type="first" r:id="rId14"/>
          <w:pgSz w:w="12240" w:h="15840"/>
          <w:pgMar w:top="1440" w:right="1440" w:bottom="1440" w:left="1440" w:header="720" w:footer="720" w:gutter="0"/>
          <w:cols w:space="720"/>
          <w:docGrid w:linePitch="360"/>
        </w:sectPr>
      </w:pPr>
    </w:p>
    <w:p w14:paraId="7EDBF281" w14:textId="767A2E16" w:rsidR="00D54031" w:rsidRPr="0033055B" w:rsidRDefault="00D54031" w:rsidP="007563F9">
      <w:pPr>
        <w:pStyle w:val="Heading1"/>
        <w:spacing w:after="240" w:line="240" w:lineRule="auto"/>
        <w:rPr>
          <w:rFonts w:cstheme="minorHAnsi"/>
          <w:b/>
          <w:sz w:val="28"/>
          <w:szCs w:val="28"/>
        </w:rPr>
      </w:pPr>
      <w:bookmarkStart w:id="39" w:name="_Toc518377690"/>
      <w:r>
        <w:rPr>
          <w:rFonts w:asciiTheme="minorHAnsi" w:hAnsiTheme="minorHAnsi"/>
          <w:b/>
          <w:color w:val="auto"/>
          <w:sz w:val="28"/>
          <w:szCs w:val="28"/>
        </w:rPr>
        <w:t xml:space="preserve">5. </w:t>
      </w:r>
      <w:r>
        <w:rPr>
          <w:rFonts w:asciiTheme="minorHAnsi" w:hAnsiTheme="minorHAnsi"/>
          <w:b/>
          <w:color w:val="auto"/>
          <w:sz w:val="28"/>
          <w:szCs w:val="28"/>
        </w:rPr>
        <w:tab/>
        <w:t>VLERËSIMET</w:t>
      </w:r>
      <w:bookmarkEnd w:id="39"/>
      <w:r>
        <w:rPr>
          <w:rFonts w:asciiTheme="minorHAnsi" w:hAnsiTheme="minorHAnsi"/>
          <w:b/>
          <w:color w:val="auto"/>
          <w:sz w:val="28"/>
          <w:szCs w:val="28"/>
        </w:rPr>
        <w:t xml:space="preserve"> </w:t>
      </w:r>
    </w:p>
    <w:p w14:paraId="56F33686" w14:textId="16E2F93C" w:rsidR="00D54031" w:rsidRPr="0033055B" w:rsidRDefault="00D54031" w:rsidP="00E565CD">
      <w:pPr>
        <w:pStyle w:val="Heading2"/>
      </w:pPr>
      <w:bookmarkStart w:id="40" w:name="_Toc518377691"/>
      <w:r>
        <w:t>5.1. Kontributi total i pritur nga secila teknologji e energjisë së ripërtërishme për arritjen e caqeve obligative të vitit 2020 si dhe trajektorja indikative e përkohshme për pjesën e energjisë nga burimet e ripërtërishme në energji elektrike, ngrohje e ftohje, si dhe transport</w:t>
      </w:r>
      <w:bookmarkEnd w:id="40"/>
      <w:r>
        <w:t xml:space="preserve"> </w:t>
      </w:r>
    </w:p>
    <w:p w14:paraId="7F24DE74" w14:textId="77777777" w:rsidR="00B43801" w:rsidRDefault="00B43801" w:rsidP="004E165A">
      <w:pPr>
        <w:autoSpaceDE w:val="0"/>
        <w:autoSpaceDN w:val="0"/>
        <w:adjustRightInd w:val="0"/>
        <w:spacing w:after="0" w:line="240" w:lineRule="auto"/>
        <w:jc w:val="both"/>
        <w:rPr>
          <w:rFonts w:cstheme="minorHAnsi"/>
          <w:lang w:val="en-GB"/>
        </w:rPr>
      </w:pPr>
    </w:p>
    <w:p w14:paraId="4B7F8FAA" w14:textId="5C179FED" w:rsidR="004E165A" w:rsidRPr="0033055B" w:rsidRDefault="004E165A" w:rsidP="004E165A">
      <w:pPr>
        <w:autoSpaceDE w:val="0"/>
        <w:autoSpaceDN w:val="0"/>
        <w:adjustRightInd w:val="0"/>
        <w:spacing w:after="0" w:line="240" w:lineRule="auto"/>
        <w:jc w:val="both"/>
        <w:rPr>
          <w:rFonts w:cstheme="minorHAnsi"/>
        </w:rPr>
      </w:pPr>
      <w:r>
        <w:t>Kontributi dhe trajektoret indikative të energjisë nga BRE-të janë paraqitur në Tabelat 16-19, si më poshtë.</w:t>
      </w:r>
    </w:p>
    <w:p w14:paraId="77B7568E" w14:textId="77777777" w:rsidR="003A4FE5" w:rsidRPr="0033055B" w:rsidRDefault="003A4FE5" w:rsidP="004E165A">
      <w:pPr>
        <w:autoSpaceDE w:val="0"/>
        <w:autoSpaceDN w:val="0"/>
        <w:adjustRightInd w:val="0"/>
        <w:spacing w:after="0" w:line="240" w:lineRule="auto"/>
        <w:jc w:val="both"/>
        <w:rPr>
          <w:rFonts w:cstheme="minorHAnsi"/>
          <w:lang w:val="en-GB"/>
        </w:rPr>
      </w:pPr>
    </w:p>
    <w:p w14:paraId="4F8071B5" w14:textId="77777777" w:rsidR="004E165A" w:rsidRPr="0033055B" w:rsidRDefault="004E165A" w:rsidP="00D54031">
      <w:pPr>
        <w:spacing w:before="120" w:after="120" w:line="240" w:lineRule="auto"/>
        <w:jc w:val="both"/>
        <w:rPr>
          <w:rFonts w:cstheme="minorHAnsi"/>
          <w:b/>
          <w:lang w:val="en-GB"/>
        </w:rPr>
      </w:pPr>
    </w:p>
    <w:p w14:paraId="0D970ACB" w14:textId="77777777" w:rsidR="004E165A" w:rsidRPr="0033055B" w:rsidRDefault="004E165A" w:rsidP="00D54031">
      <w:pPr>
        <w:spacing w:before="120" w:after="120" w:line="240" w:lineRule="auto"/>
        <w:jc w:val="both"/>
        <w:rPr>
          <w:rFonts w:cstheme="minorHAnsi"/>
          <w:b/>
          <w:lang w:val="en-GB"/>
        </w:rPr>
        <w:sectPr w:rsidR="004E165A" w:rsidRPr="0033055B">
          <w:pgSz w:w="12240" w:h="15840"/>
          <w:pgMar w:top="1440" w:right="1440" w:bottom="1440" w:left="1440" w:header="720" w:footer="720" w:gutter="0"/>
          <w:cols w:space="720"/>
          <w:docGrid w:linePitch="360"/>
        </w:sectPr>
      </w:pPr>
    </w:p>
    <w:p w14:paraId="7685BFA5" w14:textId="34169834" w:rsidR="00963AB6" w:rsidRPr="0033055B" w:rsidRDefault="003E6550" w:rsidP="007563F9">
      <w:pPr>
        <w:spacing w:before="120" w:after="120" w:line="240" w:lineRule="auto"/>
        <w:jc w:val="center"/>
        <w:rPr>
          <w:rFonts w:ascii="Calibri" w:eastAsia="Calibri" w:hAnsi="Calibri"/>
          <w:b/>
          <w:iCs/>
        </w:rPr>
      </w:pPr>
      <w:bookmarkStart w:id="41" w:name="_Toc518377708"/>
      <w:r>
        <w:rPr>
          <w:rFonts w:ascii="Calibri" w:hAnsi="Calibri"/>
          <w:b/>
          <w:iCs/>
        </w:rPr>
        <w:t xml:space="preserve">Tabela </w:t>
      </w:r>
      <w:r w:rsidR="00724C64" w:rsidRPr="0033055B">
        <w:rPr>
          <w:rFonts w:ascii="Calibri" w:eastAsia="Calibri" w:hAnsi="Calibri"/>
          <w:b/>
          <w:iCs/>
        </w:rPr>
        <w:fldChar w:fldCharType="begin"/>
      </w:r>
      <w:r w:rsidRPr="0033055B">
        <w:rPr>
          <w:rFonts w:ascii="Calibri" w:eastAsia="Calibri" w:hAnsi="Calibri"/>
          <w:b/>
          <w:iCs/>
        </w:rPr>
        <w:instrText xml:space="preserve"> SEQ Table \* ARABIC </w:instrText>
      </w:r>
      <w:r w:rsidR="00724C64" w:rsidRPr="0033055B">
        <w:rPr>
          <w:rFonts w:ascii="Calibri" w:eastAsia="Calibri" w:hAnsi="Calibri"/>
          <w:b/>
          <w:iCs/>
        </w:rPr>
        <w:fldChar w:fldCharType="separate"/>
      </w:r>
      <w:r w:rsidR="00DC4741">
        <w:rPr>
          <w:rFonts w:ascii="Calibri" w:eastAsia="Calibri" w:hAnsi="Calibri"/>
          <w:b/>
          <w:iCs/>
          <w:noProof/>
        </w:rPr>
        <w:t>16</w:t>
      </w:r>
      <w:r w:rsidR="00724C64" w:rsidRPr="0033055B">
        <w:rPr>
          <w:rFonts w:ascii="Calibri" w:eastAsia="Calibri" w:hAnsi="Calibri"/>
          <w:b/>
          <w:iCs/>
        </w:rPr>
        <w:fldChar w:fldCharType="end"/>
      </w:r>
      <w:r>
        <w:rPr>
          <w:rFonts w:ascii="Calibri" w:hAnsi="Calibri"/>
          <w:b/>
          <w:iCs/>
        </w:rPr>
        <w:t>: Potenciali i disponueshëm në Kosovë për secilën teknologji të energjisë së ripërtërishme në energji elektrike, për periudhën 2009-2014.</w:t>
      </w:r>
      <w:bookmarkEnd w:id="41"/>
    </w:p>
    <w:tbl>
      <w:tblPr>
        <w:tblStyle w:val="TableGrid0"/>
        <w:tblW w:w="14137" w:type="dxa"/>
        <w:jc w:val="center"/>
        <w:tblInd w:w="0" w:type="dxa"/>
        <w:tblCellMar>
          <w:left w:w="108" w:type="dxa"/>
          <w:right w:w="17" w:type="dxa"/>
        </w:tblCellMar>
        <w:tblLook w:val="04A0" w:firstRow="1" w:lastRow="0" w:firstColumn="1" w:lastColumn="0" w:noHBand="0" w:noVBand="1"/>
      </w:tblPr>
      <w:tblGrid>
        <w:gridCol w:w="2114"/>
        <w:gridCol w:w="1000"/>
        <w:gridCol w:w="1001"/>
        <w:gridCol w:w="1000"/>
        <w:gridCol w:w="1003"/>
        <w:gridCol w:w="1001"/>
        <w:gridCol w:w="1002"/>
        <w:gridCol w:w="1001"/>
        <w:gridCol w:w="1003"/>
        <w:gridCol w:w="1001"/>
        <w:gridCol w:w="1002"/>
        <w:gridCol w:w="1001"/>
        <w:gridCol w:w="1002"/>
        <w:gridCol w:w="6"/>
      </w:tblGrid>
      <w:tr w:rsidR="00963AB6" w:rsidRPr="0033055B" w14:paraId="627847AC" w14:textId="77777777" w:rsidTr="007563F9">
        <w:trPr>
          <w:trHeight w:val="344"/>
          <w:jc w:val="center"/>
        </w:trPr>
        <w:tc>
          <w:tcPr>
            <w:tcW w:w="2114" w:type="dxa"/>
            <w:vMerge w:val="restart"/>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04161C19" w14:textId="77777777" w:rsidR="00963AB6" w:rsidRPr="0033055B" w:rsidRDefault="00963AB6" w:rsidP="003E6550">
            <w:pPr>
              <w:jc w:val="center"/>
              <w:rPr>
                <w:rFonts w:cstheme="minorHAnsi"/>
                <w:lang w:val="en-GB"/>
              </w:rPr>
            </w:pPr>
          </w:p>
        </w:tc>
        <w:tc>
          <w:tcPr>
            <w:tcW w:w="2001"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5F40A7FF" w14:textId="77777777" w:rsidR="00963AB6" w:rsidRPr="0033055B" w:rsidRDefault="00963AB6" w:rsidP="003E6550">
            <w:pPr>
              <w:jc w:val="center"/>
              <w:rPr>
                <w:rFonts w:cstheme="minorHAnsi"/>
              </w:rPr>
            </w:pPr>
            <w:r>
              <w:rPr>
                <w:b/>
              </w:rPr>
              <w:t>2009</w:t>
            </w:r>
          </w:p>
        </w:tc>
        <w:tc>
          <w:tcPr>
            <w:tcW w:w="2003"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4E79D553" w14:textId="77777777" w:rsidR="00963AB6" w:rsidRPr="0033055B" w:rsidRDefault="00963AB6" w:rsidP="003E6550">
            <w:pPr>
              <w:jc w:val="center"/>
              <w:rPr>
                <w:rFonts w:cstheme="minorHAnsi"/>
                <w:b/>
              </w:rPr>
            </w:pPr>
            <w:r>
              <w:rPr>
                <w:b/>
              </w:rPr>
              <w:t>2010</w:t>
            </w:r>
          </w:p>
        </w:tc>
        <w:tc>
          <w:tcPr>
            <w:tcW w:w="2003"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32F9BC60" w14:textId="77777777" w:rsidR="00963AB6" w:rsidRPr="0033055B" w:rsidRDefault="00963AB6" w:rsidP="003E6550">
            <w:pPr>
              <w:jc w:val="center"/>
              <w:rPr>
                <w:rFonts w:cstheme="minorHAnsi"/>
                <w:b/>
              </w:rPr>
            </w:pPr>
            <w:r>
              <w:rPr>
                <w:b/>
              </w:rPr>
              <w:t>2011</w:t>
            </w:r>
          </w:p>
        </w:tc>
        <w:tc>
          <w:tcPr>
            <w:tcW w:w="2004"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31BC85F1" w14:textId="77777777" w:rsidR="00963AB6" w:rsidRPr="0033055B" w:rsidRDefault="00963AB6" w:rsidP="003E6550">
            <w:pPr>
              <w:ind w:right="1"/>
              <w:jc w:val="center"/>
              <w:rPr>
                <w:rFonts w:cstheme="minorHAnsi"/>
                <w:b/>
              </w:rPr>
            </w:pPr>
            <w:r>
              <w:rPr>
                <w:b/>
              </w:rPr>
              <w:t>2012</w:t>
            </w:r>
          </w:p>
        </w:tc>
        <w:tc>
          <w:tcPr>
            <w:tcW w:w="2003"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286B4AF0" w14:textId="77777777" w:rsidR="00963AB6" w:rsidRPr="0033055B" w:rsidRDefault="00963AB6" w:rsidP="003E6550">
            <w:pPr>
              <w:jc w:val="center"/>
              <w:rPr>
                <w:rFonts w:cstheme="minorHAnsi"/>
                <w:b/>
              </w:rPr>
            </w:pPr>
            <w:r>
              <w:rPr>
                <w:b/>
              </w:rPr>
              <w:t>2013</w:t>
            </w:r>
          </w:p>
        </w:tc>
        <w:tc>
          <w:tcPr>
            <w:tcW w:w="2009" w:type="dxa"/>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3726B19B" w14:textId="77777777" w:rsidR="00963AB6" w:rsidRPr="0033055B" w:rsidRDefault="00963AB6" w:rsidP="003E6550">
            <w:pPr>
              <w:jc w:val="center"/>
              <w:rPr>
                <w:rFonts w:cstheme="minorHAnsi"/>
                <w:b/>
              </w:rPr>
            </w:pPr>
            <w:r>
              <w:rPr>
                <w:b/>
              </w:rPr>
              <w:t>2014</w:t>
            </w:r>
          </w:p>
        </w:tc>
      </w:tr>
      <w:tr w:rsidR="00963AB6" w:rsidRPr="0033055B" w14:paraId="1417A0F0" w14:textId="77777777" w:rsidTr="007563F9">
        <w:trPr>
          <w:gridAfter w:val="1"/>
          <w:wAfter w:w="6" w:type="dxa"/>
          <w:trHeight w:val="344"/>
          <w:jc w:val="center"/>
        </w:trPr>
        <w:tc>
          <w:tcPr>
            <w:tcW w:w="0" w:type="auto"/>
            <w:vMerge/>
            <w:tcBorders>
              <w:top w:val="nil"/>
              <w:left w:val="single" w:sz="8" w:space="0" w:color="000000"/>
              <w:bottom w:val="single" w:sz="8" w:space="0" w:color="000000"/>
              <w:right w:val="single" w:sz="8" w:space="0" w:color="000000"/>
            </w:tcBorders>
            <w:shd w:val="clear" w:color="auto" w:fill="D9D9D9" w:themeFill="background1" w:themeFillShade="D9"/>
          </w:tcPr>
          <w:p w14:paraId="3B626C73" w14:textId="77777777" w:rsidR="00963AB6" w:rsidRPr="0033055B" w:rsidRDefault="00963AB6" w:rsidP="003E6550">
            <w:pPr>
              <w:jc w:val="center"/>
              <w:rPr>
                <w:rFonts w:cstheme="minorHAnsi"/>
                <w:lang w:val="en-GB"/>
              </w:rPr>
            </w:pPr>
          </w:p>
        </w:tc>
        <w:tc>
          <w:tcPr>
            <w:tcW w:w="100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49E73EE2" w14:textId="77777777" w:rsidR="00963AB6" w:rsidRPr="0033055B" w:rsidRDefault="00963AB6" w:rsidP="003E6550">
            <w:pPr>
              <w:jc w:val="center"/>
              <w:rPr>
                <w:rFonts w:cstheme="minorHAnsi"/>
                <w:b/>
              </w:rPr>
            </w:pPr>
            <w:r>
              <w:rPr>
                <w:b/>
              </w:rPr>
              <w:t>MW</w:t>
            </w:r>
          </w:p>
        </w:tc>
        <w:tc>
          <w:tcPr>
            <w:tcW w:w="100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47644C67" w14:textId="77777777" w:rsidR="00963AB6" w:rsidRPr="0033055B" w:rsidRDefault="00963AB6" w:rsidP="003E6550">
            <w:pPr>
              <w:jc w:val="center"/>
              <w:rPr>
                <w:rFonts w:cstheme="minorHAnsi"/>
                <w:b/>
              </w:rPr>
            </w:pPr>
            <w:r>
              <w:rPr>
                <w:b/>
              </w:rPr>
              <w:t>GWh</w:t>
            </w:r>
          </w:p>
        </w:tc>
        <w:tc>
          <w:tcPr>
            <w:tcW w:w="100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6DD3DF43" w14:textId="77777777" w:rsidR="00963AB6" w:rsidRPr="0033055B" w:rsidRDefault="00963AB6" w:rsidP="003E6550">
            <w:pPr>
              <w:jc w:val="center"/>
              <w:rPr>
                <w:rFonts w:cstheme="minorHAnsi"/>
                <w:b/>
              </w:rPr>
            </w:pPr>
            <w:r>
              <w:rPr>
                <w:b/>
              </w:rPr>
              <w:t>MW</w:t>
            </w:r>
          </w:p>
        </w:tc>
        <w:tc>
          <w:tcPr>
            <w:tcW w:w="100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7428F0FE" w14:textId="77777777" w:rsidR="00963AB6" w:rsidRPr="0033055B" w:rsidRDefault="00963AB6" w:rsidP="003E6550">
            <w:pPr>
              <w:jc w:val="center"/>
              <w:rPr>
                <w:rFonts w:cstheme="minorHAnsi"/>
                <w:b/>
              </w:rPr>
            </w:pPr>
            <w:r>
              <w:rPr>
                <w:b/>
              </w:rPr>
              <w:t>GWh</w:t>
            </w:r>
          </w:p>
        </w:tc>
        <w:tc>
          <w:tcPr>
            <w:tcW w:w="100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61B23097" w14:textId="77777777" w:rsidR="00963AB6" w:rsidRPr="0033055B" w:rsidRDefault="00963AB6" w:rsidP="003E6550">
            <w:pPr>
              <w:jc w:val="center"/>
              <w:rPr>
                <w:rFonts w:cstheme="minorHAnsi"/>
                <w:b/>
              </w:rPr>
            </w:pPr>
            <w:r>
              <w:rPr>
                <w:b/>
              </w:rPr>
              <w:t>MW</w:t>
            </w:r>
          </w:p>
        </w:tc>
        <w:tc>
          <w:tcPr>
            <w:tcW w:w="100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0BFEF57D" w14:textId="77777777" w:rsidR="00963AB6" w:rsidRPr="0033055B" w:rsidRDefault="00963AB6" w:rsidP="003E6550">
            <w:pPr>
              <w:jc w:val="center"/>
              <w:rPr>
                <w:rFonts w:cstheme="minorHAnsi"/>
                <w:b/>
              </w:rPr>
            </w:pPr>
            <w:r>
              <w:rPr>
                <w:b/>
              </w:rPr>
              <w:t>GWh</w:t>
            </w:r>
          </w:p>
        </w:tc>
        <w:tc>
          <w:tcPr>
            <w:tcW w:w="100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4F1C6DB6" w14:textId="77777777" w:rsidR="00963AB6" w:rsidRPr="0033055B" w:rsidRDefault="00963AB6" w:rsidP="003E6550">
            <w:pPr>
              <w:jc w:val="center"/>
              <w:rPr>
                <w:rFonts w:cstheme="minorHAnsi"/>
                <w:b/>
              </w:rPr>
            </w:pPr>
            <w:r>
              <w:rPr>
                <w:b/>
              </w:rPr>
              <w:t>MW</w:t>
            </w:r>
          </w:p>
        </w:tc>
        <w:tc>
          <w:tcPr>
            <w:tcW w:w="100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10A9CCE4" w14:textId="77777777" w:rsidR="00963AB6" w:rsidRPr="0033055B" w:rsidRDefault="00963AB6" w:rsidP="003E6550">
            <w:pPr>
              <w:jc w:val="center"/>
              <w:rPr>
                <w:rFonts w:cstheme="minorHAnsi"/>
                <w:b/>
              </w:rPr>
            </w:pPr>
            <w:r>
              <w:rPr>
                <w:b/>
              </w:rPr>
              <w:t>GWh</w:t>
            </w:r>
          </w:p>
        </w:tc>
        <w:tc>
          <w:tcPr>
            <w:tcW w:w="100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5D25FE46" w14:textId="77777777" w:rsidR="00963AB6" w:rsidRPr="0033055B" w:rsidRDefault="00963AB6" w:rsidP="003E6550">
            <w:pPr>
              <w:jc w:val="center"/>
              <w:rPr>
                <w:rFonts w:cstheme="minorHAnsi"/>
                <w:b/>
              </w:rPr>
            </w:pPr>
            <w:r>
              <w:rPr>
                <w:b/>
              </w:rPr>
              <w:t>MW</w:t>
            </w:r>
          </w:p>
        </w:tc>
        <w:tc>
          <w:tcPr>
            <w:tcW w:w="100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1598AD28" w14:textId="77777777" w:rsidR="00963AB6" w:rsidRPr="0033055B" w:rsidRDefault="00963AB6" w:rsidP="003E6550">
            <w:pPr>
              <w:jc w:val="center"/>
              <w:rPr>
                <w:rFonts w:cstheme="minorHAnsi"/>
                <w:b/>
              </w:rPr>
            </w:pPr>
            <w:r>
              <w:rPr>
                <w:b/>
              </w:rPr>
              <w:t>GWh</w:t>
            </w:r>
          </w:p>
        </w:tc>
        <w:tc>
          <w:tcPr>
            <w:tcW w:w="100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1D379653" w14:textId="77777777" w:rsidR="00963AB6" w:rsidRPr="0033055B" w:rsidRDefault="00963AB6" w:rsidP="003E6550">
            <w:pPr>
              <w:jc w:val="center"/>
              <w:rPr>
                <w:rFonts w:cstheme="minorHAnsi"/>
                <w:b/>
              </w:rPr>
            </w:pPr>
            <w:r>
              <w:rPr>
                <w:b/>
              </w:rPr>
              <w:t>MW</w:t>
            </w:r>
          </w:p>
        </w:tc>
        <w:tc>
          <w:tcPr>
            <w:tcW w:w="100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788EA9DE" w14:textId="77777777" w:rsidR="00963AB6" w:rsidRPr="0033055B" w:rsidRDefault="00963AB6" w:rsidP="003E6550">
            <w:pPr>
              <w:jc w:val="center"/>
              <w:rPr>
                <w:rFonts w:cstheme="minorHAnsi"/>
                <w:b/>
              </w:rPr>
            </w:pPr>
            <w:r>
              <w:rPr>
                <w:b/>
              </w:rPr>
              <w:t>GWh</w:t>
            </w:r>
          </w:p>
        </w:tc>
      </w:tr>
      <w:tr w:rsidR="00963AB6" w:rsidRPr="0033055B" w14:paraId="3CBAD693" w14:textId="77777777" w:rsidTr="003E6550">
        <w:trPr>
          <w:gridAfter w:val="1"/>
          <w:wAfter w:w="6" w:type="dxa"/>
          <w:trHeight w:val="247"/>
          <w:jc w:val="center"/>
        </w:trPr>
        <w:tc>
          <w:tcPr>
            <w:tcW w:w="2114" w:type="dxa"/>
            <w:tcBorders>
              <w:top w:val="single" w:sz="8" w:space="0" w:color="000000"/>
              <w:left w:val="single" w:sz="8" w:space="0" w:color="000000"/>
              <w:bottom w:val="single" w:sz="8" w:space="0" w:color="000000"/>
              <w:right w:val="single" w:sz="8" w:space="0" w:color="000000"/>
            </w:tcBorders>
          </w:tcPr>
          <w:p w14:paraId="6985D141" w14:textId="77777777" w:rsidR="00963AB6" w:rsidRPr="0033055B" w:rsidRDefault="00963AB6" w:rsidP="003E6550">
            <w:pPr>
              <w:jc w:val="center"/>
              <w:rPr>
                <w:rFonts w:cstheme="minorHAnsi"/>
              </w:rPr>
            </w:pPr>
            <w:r>
              <w:rPr>
                <w:i/>
              </w:rPr>
              <w:t>Hidro:</w:t>
            </w:r>
          </w:p>
        </w:tc>
        <w:tc>
          <w:tcPr>
            <w:tcW w:w="1000" w:type="dxa"/>
            <w:tcBorders>
              <w:top w:val="single" w:sz="8" w:space="0" w:color="000000"/>
              <w:left w:val="single" w:sz="8" w:space="0" w:color="000000"/>
              <w:bottom w:val="single" w:sz="8" w:space="0" w:color="000000"/>
              <w:right w:val="single" w:sz="8" w:space="0" w:color="000000"/>
            </w:tcBorders>
            <w:vAlign w:val="center"/>
          </w:tcPr>
          <w:p w14:paraId="4DB9A20C" w14:textId="77777777" w:rsidR="00963AB6" w:rsidRPr="0033055B" w:rsidRDefault="00963AB6" w:rsidP="003E6550">
            <w:pPr>
              <w:jc w:val="center"/>
              <w:rPr>
                <w:rFonts w:cstheme="minorHAnsi"/>
                <w:lang w:val="en-GB"/>
              </w:rPr>
            </w:pPr>
          </w:p>
        </w:tc>
        <w:tc>
          <w:tcPr>
            <w:tcW w:w="1001" w:type="dxa"/>
            <w:tcBorders>
              <w:top w:val="single" w:sz="8" w:space="0" w:color="000000"/>
              <w:left w:val="single" w:sz="8" w:space="0" w:color="000000"/>
              <w:bottom w:val="single" w:sz="8" w:space="0" w:color="000000"/>
              <w:right w:val="single" w:sz="8" w:space="0" w:color="000000"/>
            </w:tcBorders>
            <w:vAlign w:val="center"/>
          </w:tcPr>
          <w:p w14:paraId="658A94BA" w14:textId="77777777" w:rsidR="00963AB6" w:rsidRPr="0033055B" w:rsidRDefault="00963AB6" w:rsidP="003E6550">
            <w:pPr>
              <w:jc w:val="center"/>
              <w:rPr>
                <w:rFonts w:cstheme="minorHAnsi"/>
                <w:lang w:val="en-GB"/>
              </w:rPr>
            </w:pPr>
          </w:p>
        </w:tc>
        <w:tc>
          <w:tcPr>
            <w:tcW w:w="1000" w:type="dxa"/>
            <w:tcBorders>
              <w:top w:val="single" w:sz="8" w:space="0" w:color="000000"/>
              <w:left w:val="single" w:sz="8" w:space="0" w:color="000000"/>
              <w:bottom w:val="single" w:sz="8" w:space="0" w:color="000000"/>
              <w:right w:val="single" w:sz="8" w:space="0" w:color="000000"/>
            </w:tcBorders>
            <w:vAlign w:val="center"/>
          </w:tcPr>
          <w:p w14:paraId="107892C4" w14:textId="77777777" w:rsidR="00963AB6" w:rsidRPr="0033055B" w:rsidRDefault="00963AB6" w:rsidP="003E6550">
            <w:pPr>
              <w:jc w:val="center"/>
              <w:rPr>
                <w:rFonts w:cstheme="minorHAnsi"/>
                <w:lang w:val="en-GB"/>
              </w:rPr>
            </w:pPr>
          </w:p>
        </w:tc>
        <w:tc>
          <w:tcPr>
            <w:tcW w:w="1003" w:type="dxa"/>
            <w:tcBorders>
              <w:top w:val="single" w:sz="8" w:space="0" w:color="000000"/>
              <w:left w:val="single" w:sz="8" w:space="0" w:color="000000"/>
              <w:bottom w:val="single" w:sz="8" w:space="0" w:color="000000"/>
              <w:right w:val="single" w:sz="8" w:space="0" w:color="000000"/>
            </w:tcBorders>
            <w:vAlign w:val="center"/>
          </w:tcPr>
          <w:p w14:paraId="7CA331F5" w14:textId="77777777" w:rsidR="00963AB6" w:rsidRPr="0033055B" w:rsidRDefault="00963AB6" w:rsidP="003E6550">
            <w:pPr>
              <w:jc w:val="center"/>
              <w:rPr>
                <w:rFonts w:cstheme="minorHAnsi"/>
                <w:lang w:val="en-GB"/>
              </w:rPr>
            </w:pPr>
          </w:p>
        </w:tc>
        <w:tc>
          <w:tcPr>
            <w:tcW w:w="1001" w:type="dxa"/>
            <w:tcBorders>
              <w:top w:val="single" w:sz="8" w:space="0" w:color="000000"/>
              <w:left w:val="single" w:sz="8" w:space="0" w:color="000000"/>
              <w:bottom w:val="single" w:sz="8" w:space="0" w:color="000000"/>
              <w:right w:val="single" w:sz="8" w:space="0" w:color="000000"/>
            </w:tcBorders>
            <w:vAlign w:val="center"/>
          </w:tcPr>
          <w:p w14:paraId="1BC06C28" w14:textId="77777777" w:rsidR="00963AB6" w:rsidRPr="0033055B" w:rsidRDefault="00963AB6" w:rsidP="003E6550">
            <w:pPr>
              <w:jc w:val="center"/>
              <w:rPr>
                <w:rFonts w:cstheme="minorHAnsi"/>
                <w:lang w:val="en-GB"/>
              </w:rPr>
            </w:pPr>
          </w:p>
        </w:tc>
        <w:tc>
          <w:tcPr>
            <w:tcW w:w="1002" w:type="dxa"/>
            <w:tcBorders>
              <w:top w:val="single" w:sz="8" w:space="0" w:color="000000"/>
              <w:left w:val="single" w:sz="8" w:space="0" w:color="000000"/>
              <w:bottom w:val="single" w:sz="8" w:space="0" w:color="000000"/>
              <w:right w:val="single" w:sz="8" w:space="0" w:color="000000"/>
            </w:tcBorders>
            <w:vAlign w:val="center"/>
          </w:tcPr>
          <w:p w14:paraId="40020097" w14:textId="77777777" w:rsidR="00963AB6" w:rsidRPr="0033055B" w:rsidRDefault="00963AB6" w:rsidP="003E6550">
            <w:pPr>
              <w:jc w:val="center"/>
              <w:rPr>
                <w:rFonts w:cstheme="minorHAnsi"/>
                <w:lang w:val="en-GB"/>
              </w:rPr>
            </w:pPr>
          </w:p>
        </w:tc>
        <w:tc>
          <w:tcPr>
            <w:tcW w:w="1001" w:type="dxa"/>
            <w:tcBorders>
              <w:top w:val="single" w:sz="8" w:space="0" w:color="000000"/>
              <w:left w:val="single" w:sz="8" w:space="0" w:color="000000"/>
              <w:bottom w:val="single" w:sz="8" w:space="0" w:color="000000"/>
              <w:right w:val="single" w:sz="8" w:space="0" w:color="000000"/>
            </w:tcBorders>
            <w:vAlign w:val="center"/>
          </w:tcPr>
          <w:p w14:paraId="27DD7454" w14:textId="77777777" w:rsidR="00963AB6" w:rsidRPr="0033055B" w:rsidRDefault="00963AB6" w:rsidP="003E6550">
            <w:pPr>
              <w:jc w:val="center"/>
              <w:rPr>
                <w:rFonts w:cstheme="minorHAnsi"/>
                <w:lang w:val="en-GB"/>
              </w:rPr>
            </w:pPr>
          </w:p>
        </w:tc>
        <w:tc>
          <w:tcPr>
            <w:tcW w:w="1003" w:type="dxa"/>
            <w:tcBorders>
              <w:top w:val="single" w:sz="8" w:space="0" w:color="000000"/>
              <w:left w:val="single" w:sz="8" w:space="0" w:color="000000"/>
              <w:bottom w:val="single" w:sz="8" w:space="0" w:color="000000"/>
              <w:right w:val="single" w:sz="8" w:space="0" w:color="000000"/>
            </w:tcBorders>
            <w:vAlign w:val="center"/>
          </w:tcPr>
          <w:p w14:paraId="75C47B53" w14:textId="77777777" w:rsidR="00963AB6" w:rsidRPr="0033055B" w:rsidRDefault="00963AB6" w:rsidP="003E6550">
            <w:pPr>
              <w:jc w:val="center"/>
              <w:rPr>
                <w:rFonts w:cstheme="minorHAnsi"/>
                <w:lang w:val="en-GB"/>
              </w:rPr>
            </w:pPr>
          </w:p>
        </w:tc>
        <w:tc>
          <w:tcPr>
            <w:tcW w:w="1001" w:type="dxa"/>
            <w:tcBorders>
              <w:top w:val="single" w:sz="8" w:space="0" w:color="000000"/>
              <w:left w:val="single" w:sz="8" w:space="0" w:color="000000"/>
              <w:bottom w:val="single" w:sz="8" w:space="0" w:color="000000"/>
              <w:right w:val="single" w:sz="8" w:space="0" w:color="000000"/>
            </w:tcBorders>
            <w:vAlign w:val="center"/>
          </w:tcPr>
          <w:p w14:paraId="0DBC23EE" w14:textId="77777777" w:rsidR="00963AB6" w:rsidRPr="0033055B" w:rsidRDefault="00963AB6" w:rsidP="003E6550">
            <w:pPr>
              <w:jc w:val="center"/>
              <w:rPr>
                <w:rFonts w:cstheme="minorHAnsi"/>
                <w:lang w:val="en-GB"/>
              </w:rPr>
            </w:pPr>
          </w:p>
        </w:tc>
        <w:tc>
          <w:tcPr>
            <w:tcW w:w="1002" w:type="dxa"/>
            <w:tcBorders>
              <w:top w:val="single" w:sz="8" w:space="0" w:color="000000"/>
              <w:left w:val="single" w:sz="8" w:space="0" w:color="000000"/>
              <w:bottom w:val="single" w:sz="8" w:space="0" w:color="000000"/>
              <w:right w:val="single" w:sz="8" w:space="0" w:color="000000"/>
            </w:tcBorders>
            <w:vAlign w:val="center"/>
          </w:tcPr>
          <w:p w14:paraId="05BB0FD8" w14:textId="77777777" w:rsidR="00963AB6" w:rsidRPr="0033055B" w:rsidRDefault="00963AB6" w:rsidP="003E6550">
            <w:pPr>
              <w:jc w:val="center"/>
              <w:rPr>
                <w:rFonts w:cstheme="minorHAnsi"/>
                <w:lang w:val="en-GB"/>
              </w:rPr>
            </w:pPr>
          </w:p>
        </w:tc>
        <w:tc>
          <w:tcPr>
            <w:tcW w:w="1001" w:type="dxa"/>
            <w:tcBorders>
              <w:top w:val="single" w:sz="8" w:space="0" w:color="000000"/>
              <w:left w:val="single" w:sz="8" w:space="0" w:color="000000"/>
              <w:bottom w:val="single" w:sz="8" w:space="0" w:color="000000"/>
              <w:right w:val="single" w:sz="8" w:space="0" w:color="000000"/>
            </w:tcBorders>
            <w:vAlign w:val="center"/>
          </w:tcPr>
          <w:p w14:paraId="745B95A7" w14:textId="77777777" w:rsidR="00963AB6" w:rsidRPr="0033055B" w:rsidRDefault="00963AB6" w:rsidP="003E6550">
            <w:pPr>
              <w:jc w:val="center"/>
              <w:rPr>
                <w:rFonts w:cstheme="minorHAnsi"/>
                <w:lang w:val="en-GB"/>
              </w:rPr>
            </w:pPr>
          </w:p>
        </w:tc>
        <w:tc>
          <w:tcPr>
            <w:tcW w:w="1002" w:type="dxa"/>
            <w:tcBorders>
              <w:top w:val="single" w:sz="8" w:space="0" w:color="000000"/>
              <w:left w:val="single" w:sz="8" w:space="0" w:color="000000"/>
              <w:bottom w:val="single" w:sz="8" w:space="0" w:color="000000"/>
              <w:right w:val="single" w:sz="8" w:space="0" w:color="000000"/>
            </w:tcBorders>
            <w:vAlign w:val="center"/>
          </w:tcPr>
          <w:p w14:paraId="78890CBE" w14:textId="77777777" w:rsidR="00963AB6" w:rsidRPr="0033055B" w:rsidRDefault="00963AB6" w:rsidP="003E6550">
            <w:pPr>
              <w:jc w:val="center"/>
              <w:rPr>
                <w:rFonts w:cstheme="minorHAnsi"/>
                <w:lang w:val="en-GB"/>
              </w:rPr>
            </w:pPr>
          </w:p>
        </w:tc>
      </w:tr>
      <w:tr w:rsidR="00963AB6" w:rsidRPr="0033055B" w14:paraId="07600EDB" w14:textId="77777777" w:rsidTr="003E6550">
        <w:trPr>
          <w:gridAfter w:val="1"/>
          <w:wAfter w:w="6" w:type="dxa"/>
          <w:trHeight w:val="474"/>
          <w:jc w:val="center"/>
        </w:trPr>
        <w:tc>
          <w:tcPr>
            <w:tcW w:w="2114" w:type="dxa"/>
            <w:tcBorders>
              <w:top w:val="single" w:sz="8" w:space="0" w:color="000000"/>
              <w:left w:val="single" w:sz="8" w:space="0" w:color="000000"/>
              <w:bottom w:val="single" w:sz="8" w:space="0" w:color="000000"/>
              <w:right w:val="single" w:sz="8" w:space="0" w:color="000000"/>
            </w:tcBorders>
            <w:vAlign w:val="center"/>
          </w:tcPr>
          <w:p w14:paraId="66C6A17D" w14:textId="77777777" w:rsidR="00963AB6" w:rsidRPr="0033055B" w:rsidRDefault="00963AB6" w:rsidP="003E6550">
            <w:pPr>
              <w:ind w:left="140"/>
              <w:jc w:val="center"/>
              <w:rPr>
                <w:rFonts w:cstheme="minorHAnsi"/>
              </w:rPr>
            </w:pPr>
            <w:r>
              <w:rPr>
                <w:i/>
              </w:rPr>
              <w:t>&lt;1MW</w:t>
            </w:r>
          </w:p>
        </w:tc>
        <w:tc>
          <w:tcPr>
            <w:tcW w:w="1000" w:type="dxa"/>
            <w:tcBorders>
              <w:top w:val="single" w:sz="8" w:space="0" w:color="000000"/>
              <w:left w:val="single" w:sz="8" w:space="0" w:color="000000"/>
              <w:bottom w:val="single" w:sz="8" w:space="0" w:color="000000"/>
              <w:right w:val="single" w:sz="8" w:space="0" w:color="000000"/>
            </w:tcBorders>
            <w:vAlign w:val="center"/>
          </w:tcPr>
          <w:p w14:paraId="6D2E1B50" w14:textId="77777777" w:rsidR="00963AB6" w:rsidRPr="0033055B" w:rsidRDefault="00963AB6" w:rsidP="003E6550">
            <w:pPr>
              <w:jc w:val="center"/>
              <w:rPr>
                <w:rFonts w:cstheme="minorHAnsi"/>
              </w:rPr>
            </w:pPr>
            <w:r>
              <w:t>0</w:t>
            </w:r>
          </w:p>
        </w:tc>
        <w:tc>
          <w:tcPr>
            <w:tcW w:w="1001" w:type="dxa"/>
            <w:tcBorders>
              <w:top w:val="single" w:sz="8" w:space="0" w:color="000000"/>
              <w:left w:val="single" w:sz="8" w:space="0" w:color="000000"/>
              <w:bottom w:val="single" w:sz="8" w:space="0" w:color="000000"/>
              <w:right w:val="single" w:sz="8" w:space="0" w:color="000000"/>
            </w:tcBorders>
            <w:vAlign w:val="center"/>
          </w:tcPr>
          <w:p w14:paraId="1CDAC347" w14:textId="77777777" w:rsidR="00963AB6" w:rsidRPr="0033055B" w:rsidRDefault="00963AB6" w:rsidP="003E6550">
            <w:pPr>
              <w:jc w:val="center"/>
              <w:rPr>
                <w:rFonts w:cstheme="minorHAnsi"/>
              </w:rPr>
            </w:pPr>
            <w:r>
              <w:t>0</w:t>
            </w:r>
          </w:p>
        </w:tc>
        <w:tc>
          <w:tcPr>
            <w:tcW w:w="1000" w:type="dxa"/>
            <w:tcBorders>
              <w:top w:val="single" w:sz="8" w:space="0" w:color="000000"/>
              <w:left w:val="single" w:sz="8" w:space="0" w:color="000000"/>
              <w:bottom w:val="single" w:sz="4" w:space="0" w:color="000000"/>
              <w:right w:val="single" w:sz="8" w:space="0" w:color="000000"/>
            </w:tcBorders>
            <w:vAlign w:val="center"/>
          </w:tcPr>
          <w:p w14:paraId="0F822DF9" w14:textId="77777777" w:rsidR="00963AB6" w:rsidRPr="0033055B" w:rsidRDefault="00963AB6" w:rsidP="003E6550">
            <w:pPr>
              <w:jc w:val="center"/>
              <w:rPr>
                <w:rFonts w:cstheme="minorHAnsi"/>
              </w:rPr>
            </w:pPr>
            <w:r>
              <w:t>2</w:t>
            </w:r>
          </w:p>
        </w:tc>
        <w:tc>
          <w:tcPr>
            <w:tcW w:w="1003" w:type="dxa"/>
            <w:tcBorders>
              <w:top w:val="single" w:sz="8" w:space="0" w:color="000000"/>
              <w:left w:val="single" w:sz="8" w:space="0" w:color="000000"/>
              <w:bottom w:val="single" w:sz="4" w:space="0" w:color="000000"/>
              <w:right w:val="single" w:sz="8" w:space="0" w:color="000000"/>
            </w:tcBorders>
            <w:vAlign w:val="center"/>
          </w:tcPr>
          <w:p w14:paraId="102A5F42" w14:textId="77777777" w:rsidR="00963AB6" w:rsidRPr="0033055B" w:rsidRDefault="00963AB6" w:rsidP="003E6550">
            <w:pPr>
              <w:jc w:val="center"/>
              <w:rPr>
                <w:rFonts w:cstheme="minorHAnsi"/>
              </w:rPr>
            </w:pPr>
            <w:r>
              <w:t>0</w:t>
            </w:r>
          </w:p>
        </w:tc>
        <w:tc>
          <w:tcPr>
            <w:tcW w:w="1001" w:type="dxa"/>
            <w:tcBorders>
              <w:top w:val="single" w:sz="8" w:space="0" w:color="000000"/>
              <w:left w:val="single" w:sz="8" w:space="0" w:color="000000"/>
              <w:bottom w:val="single" w:sz="4" w:space="0" w:color="000000"/>
              <w:right w:val="single" w:sz="8" w:space="0" w:color="000000"/>
            </w:tcBorders>
            <w:vAlign w:val="center"/>
          </w:tcPr>
          <w:p w14:paraId="44952A7D" w14:textId="77777777" w:rsidR="00963AB6" w:rsidRPr="0033055B" w:rsidRDefault="00963AB6" w:rsidP="003E6550">
            <w:pPr>
              <w:jc w:val="center"/>
              <w:rPr>
                <w:rFonts w:cstheme="minorHAnsi"/>
              </w:rPr>
            </w:pPr>
            <w:r>
              <w:t>3</w:t>
            </w:r>
          </w:p>
        </w:tc>
        <w:tc>
          <w:tcPr>
            <w:tcW w:w="1002" w:type="dxa"/>
            <w:tcBorders>
              <w:top w:val="single" w:sz="8" w:space="0" w:color="000000"/>
              <w:left w:val="single" w:sz="8" w:space="0" w:color="000000"/>
              <w:bottom w:val="single" w:sz="4" w:space="0" w:color="000000"/>
              <w:right w:val="single" w:sz="8" w:space="0" w:color="000000"/>
            </w:tcBorders>
            <w:vAlign w:val="center"/>
          </w:tcPr>
          <w:p w14:paraId="298BCA23" w14:textId="77777777" w:rsidR="00963AB6" w:rsidRPr="0033055B" w:rsidRDefault="00963AB6" w:rsidP="003E6550">
            <w:pPr>
              <w:jc w:val="center"/>
              <w:rPr>
                <w:rFonts w:cstheme="minorHAnsi"/>
              </w:rPr>
            </w:pPr>
            <w:r>
              <w:t>8</w:t>
            </w:r>
          </w:p>
        </w:tc>
        <w:tc>
          <w:tcPr>
            <w:tcW w:w="1001" w:type="dxa"/>
            <w:tcBorders>
              <w:top w:val="single" w:sz="8" w:space="0" w:color="000000"/>
              <w:left w:val="single" w:sz="8" w:space="0" w:color="000000"/>
              <w:bottom w:val="single" w:sz="4" w:space="0" w:color="000000"/>
              <w:right w:val="single" w:sz="8" w:space="0" w:color="000000"/>
            </w:tcBorders>
            <w:vAlign w:val="center"/>
          </w:tcPr>
          <w:p w14:paraId="72D67A8D" w14:textId="77777777" w:rsidR="00963AB6" w:rsidRPr="0033055B" w:rsidRDefault="00963AB6" w:rsidP="003E6550">
            <w:pPr>
              <w:jc w:val="center"/>
              <w:rPr>
                <w:rFonts w:cstheme="minorHAnsi"/>
              </w:rPr>
            </w:pPr>
            <w:r>
              <w:t>3</w:t>
            </w:r>
          </w:p>
        </w:tc>
        <w:tc>
          <w:tcPr>
            <w:tcW w:w="1003" w:type="dxa"/>
            <w:tcBorders>
              <w:top w:val="single" w:sz="8" w:space="0" w:color="000000"/>
              <w:left w:val="single" w:sz="8" w:space="0" w:color="000000"/>
              <w:bottom w:val="single" w:sz="4" w:space="0" w:color="000000"/>
              <w:right w:val="single" w:sz="8" w:space="0" w:color="000000"/>
            </w:tcBorders>
            <w:vAlign w:val="center"/>
          </w:tcPr>
          <w:p w14:paraId="29286B42" w14:textId="77777777" w:rsidR="00963AB6" w:rsidRPr="0033055B" w:rsidRDefault="00963AB6" w:rsidP="003E6550">
            <w:pPr>
              <w:jc w:val="center"/>
              <w:rPr>
                <w:rFonts w:cstheme="minorHAnsi"/>
              </w:rPr>
            </w:pPr>
            <w:r>
              <w:t>8</w:t>
            </w:r>
          </w:p>
        </w:tc>
        <w:tc>
          <w:tcPr>
            <w:tcW w:w="1001" w:type="dxa"/>
            <w:tcBorders>
              <w:top w:val="single" w:sz="8" w:space="0" w:color="000000"/>
              <w:left w:val="single" w:sz="8" w:space="0" w:color="000000"/>
              <w:bottom w:val="single" w:sz="4" w:space="0" w:color="000000"/>
              <w:right w:val="single" w:sz="8" w:space="0" w:color="000000"/>
            </w:tcBorders>
            <w:vAlign w:val="center"/>
          </w:tcPr>
          <w:p w14:paraId="0EA79C85" w14:textId="77777777" w:rsidR="00963AB6" w:rsidRPr="0033055B" w:rsidRDefault="00963AB6" w:rsidP="003E6550">
            <w:pPr>
              <w:jc w:val="center"/>
              <w:rPr>
                <w:rFonts w:cstheme="minorHAnsi"/>
              </w:rPr>
            </w:pPr>
            <w:r>
              <w:t>3</w:t>
            </w:r>
          </w:p>
        </w:tc>
        <w:tc>
          <w:tcPr>
            <w:tcW w:w="1002" w:type="dxa"/>
            <w:tcBorders>
              <w:top w:val="single" w:sz="8" w:space="0" w:color="000000"/>
              <w:left w:val="single" w:sz="8" w:space="0" w:color="000000"/>
              <w:bottom w:val="single" w:sz="4" w:space="0" w:color="000000"/>
              <w:right w:val="single" w:sz="8" w:space="0" w:color="000000"/>
            </w:tcBorders>
            <w:vAlign w:val="center"/>
          </w:tcPr>
          <w:p w14:paraId="4F2C501D" w14:textId="77777777" w:rsidR="00963AB6" w:rsidRPr="0033055B" w:rsidRDefault="00963AB6" w:rsidP="003E6550">
            <w:pPr>
              <w:jc w:val="center"/>
              <w:rPr>
                <w:rFonts w:cstheme="minorHAnsi"/>
              </w:rPr>
            </w:pPr>
            <w:r>
              <w:t>14</w:t>
            </w:r>
          </w:p>
        </w:tc>
        <w:tc>
          <w:tcPr>
            <w:tcW w:w="1001" w:type="dxa"/>
            <w:tcBorders>
              <w:top w:val="single" w:sz="8" w:space="0" w:color="000000"/>
              <w:left w:val="single" w:sz="8" w:space="0" w:color="000000"/>
              <w:bottom w:val="single" w:sz="4" w:space="0" w:color="000000"/>
              <w:right w:val="single" w:sz="8" w:space="0" w:color="000000"/>
            </w:tcBorders>
            <w:vAlign w:val="center"/>
          </w:tcPr>
          <w:p w14:paraId="720A5268" w14:textId="77777777" w:rsidR="00963AB6" w:rsidRPr="0033055B" w:rsidRDefault="00963AB6" w:rsidP="003E6550">
            <w:pPr>
              <w:jc w:val="center"/>
              <w:rPr>
                <w:rFonts w:cstheme="minorHAnsi"/>
              </w:rPr>
            </w:pPr>
            <w:r>
              <w:t>3</w:t>
            </w:r>
          </w:p>
        </w:tc>
        <w:tc>
          <w:tcPr>
            <w:tcW w:w="1002" w:type="dxa"/>
            <w:tcBorders>
              <w:top w:val="single" w:sz="8" w:space="0" w:color="000000"/>
              <w:left w:val="single" w:sz="8" w:space="0" w:color="000000"/>
              <w:bottom w:val="single" w:sz="4" w:space="0" w:color="000000"/>
              <w:right w:val="single" w:sz="8" w:space="0" w:color="000000"/>
            </w:tcBorders>
            <w:vAlign w:val="center"/>
          </w:tcPr>
          <w:p w14:paraId="110852E0" w14:textId="77777777" w:rsidR="00963AB6" w:rsidRPr="0033055B" w:rsidRDefault="00963AB6" w:rsidP="003E6550">
            <w:pPr>
              <w:jc w:val="center"/>
              <w:rPr>
                <w:rFonts w:cstheme="minorHAnsi"/>
              </w:rPr>
            </w:pPr>
            <w:r>
              <w:t>7</w:t>
            </w:r>
          </w:p>
        </w:tc>
      </w:tr>
      <w:tr w:rsidR="00963AB6" w:rsidRPr="0033055B" w14:paraId="61177159" w14:textId="77777777" w:rsidTr="003E6550">
        <w:trPr>
          <w:gridAfter w:val="1"/>
          <w:wAfter w:w="6" w:type="dxa"/>
          <w:trHeight w:val="475"/>
          <w:jc w:val="center"/>
        </w:trPr>
        <w:tc>
          <w:tcPr>
            <w:tcW w:w="2114" w:type="dxa"/>
            <w:tcBorders>
              <w:top w:val="single" w:sz="8" w:space="0" w:color="000000"/>
              <w:left w:val="single" w:sz="8" w:space="0" w:color="000000"/>
              <w:bottom w:val="single" w:sz="8" w:space="0" w:color="000000"/>
              <w:right w:val="single" w:sz="8" w:space="0" w:color="000000"/>
            </w:tcBorders>
            <w:vAlign w:val="center"/>
          </w:tcPr>
          <w:p w14:paraId="0B2692DF" w14:textId="77777777" w:rsidR="00963AB6" w:rsidRPr="0033055B" w:rsidRDefault="00963AB6" w:rsidP="003E6550">
            <w:pPr>
              <w:ind w:left="140"/>
              <w:jc w:val="center"/>
              <w:rPr>
                <w:rFonts w:cstheme="minorHAnsi"/>
              </w:rPr>
            </w:pPr>
            <w:r>
              <w:rPr>
                <w:i/>
              </w:rPr>
              <w:t>1MW–10 MW</w:t>
            </w:r>
          </w:p>
        </w:tc>
        <w:tc>
          <w:tcPr>
            <w:tcW w:w="1000" w:type="dxa"/>
            <w:tcBorders>
              <w:top w:val="single" w:sz="8" w:space="0" w:color="000000"/>
              <w:left w:val="single" w:sz="8" w:space="0" w:color="000000"/>
              <w:bottom w:val="single" w:sz="4" w:space="0" w:color="000000"/>
              <w:right w:val="single" w:sz="8" w:space="0" w:color="000000"/>
            </w:tcBorders>
            <w:vAlign w:val="center"/>
          </w:tcPr>
          <w:p w14:paraId="61DD2809" w14:textId="77777777" w:rsidR="00963AB6" w:rsidRPr="0033055B" w:rsidRDefault="00963AB6" w:rsidP="003E6550">
            <w:pPr>
              <w:jc w:val="center"/>
              <w:rPr>
                <w:rFonts w:cstheme="minorHAnsi"/>
              </w:rPr>
            </w:pPr>
            <w:r>
              <w:t>8</w:t>
            </w:r>
          </w:p>
        </w:tc>
        <w:tc>
          <w:tcPr>
            <w:tcW w:w="1001" w:type="dxa"/>
            <w:tcBorders>
              <w:top w:val="single" w:sz="8" w:space="0" w:color="000000"/>
              <w:left w:val="single" w:sz="8" w:space="0" w:color="000000"/>
              <w:bottom w:val="single" w:sz="4" w:space="0" w:color="000000"/>
              <w:right w:val="single" w:sz="8" w:space="0" w:color="000000"/>
            </w:tcBorders>
            <w:vAlign w:val="center"/>
          </w:tcPr>
          <w:p w14:paraId="7C55D5DB" w14:textId="77777777" w:rsidR="00963AB6" w:rsidRPr="0033055B" w:rsidRDefault="00963AB6" w:rsidP="003E6550">
            <w:pPr>
              <w:jc w:val="center"/>
              <w:rPr>
                <w:rFonts w:cstheme="minorHAnsi"/>
              </w:rPr>
            </w:pPr>
            <w:r>
              <w:t>0</w:t>
            </w:r>
          </w:p>
        </w:tc>
        <w:tc>
          <w:tcPr>
            <w:tcW w:w="1000" w:type="dxa"/>
            <w:tcBorders>
              <w:top w:val="single" w:sz="4" w:space="0" w:color="000000"/>
              <w:left w:val="single" w:sz="8" w:space="0" w:color="000000"/>
              <w:bottom w:val="single" w:sz="4" w:space="0" w:color="000000"/>
              <w:right w:val="single" w:sz="8" w:space="0" w:color="000000"/>
            </w:tcBorders>
            <w:vAlign w:val="center"/>
          </w:tcPr>
          <w:p w14:paraId="03FA24AE" w14:textId="77777777" w:rsidR="00963AB6" w:rsidRPr="0033055B" w:rsidRDefault="00963AB6" w:rsidP="003E6550">
            <w:pPr>
              <w:jc w:val="center"/>
              <w:rPr>
                <w:rFonts w:cstheme="minorHAnsi"/>
              </w:rPr>
            </w:pPr>
            <w:r>
              <w:t>8</w:t>
            </w:r>
          </w:p>
        </w:tc>
        <w:tc>
          <w:tcPr>
            <w:tcW w:w="1003" w:type="dxa"/>
            <w:tcBorders>
              <w:top w:val="single" w:sz="4" w:space="0" w:color="000000"/>
              <w:left w:val="single" w:sz="8" w:space="0" w:color="000000"/>
              <w:bottom w:val="single" w:sz="4" w:space="0" w:color="000000"/>
              <w:right w:val="single" w:sz="8" w:space="0" w:color="000000"/>
            </w:tcBorders>
            <w:vAlign w:val="center"/>
          </w:tcPr>
          <w:p w14:paraId="2E5DCCE7" w14:textId="77777777" w:rsidR="00963AB6" w:rsidRPr="0033055B" w:rsidRDefault="00963AB6" w:rsidP="003E6550">
            <w:pPr>
              <w:jc w:val="center"/>
              <w:rPr>
                <w:rFonts w:cstheme="minorHAnsi"/>
              </w:rPr>
            </w:pPr>
            <w:r>
              <w:t>0</w:t>
            </w:r>
          </w:p>
        </w:tc>
        <w:tc>
          <w:tcPr>
            <w:tcW w:w="1001" w:type="dxa"/>
            <w:tcBorders>
              <w:top w:val="single" w:sz="4" w:space="0" w:color="000000"/>
              <w:left w:val="single" w:sz="8" w:space="0" w:color="000000"/>
              <w:bottom w:val="single" w:sz="4" w:space="0" w:color="000000"/>
              <w:right w:val="single" w:sz="8" w:space="0" w:color="000000"/>
            </w:tcBorders>
            <w:vAlign w:val="center"/>
          </w:tcPr>
          <w:p w14:paraId="5F8A7B67" w14:textId="77777777" w:rsidR="00963AB6" w:rsidRPr="0033055B" w:rsidRDefault="00963AB6" w:rsidP="003E6550">
            <w:pPr>
              <w:jc w:val="center"/>
              <w:rPr>
                <w:rFonts w:cstheme="minorHAnsi"/>
              </w:rPr>
            </w:pPr>
            <w:r>
              <w:t>8</w:t>
            </w:r>
          </w:p>
        </w:tc>
        <w:tc>
          <w:tcPr>
            <w:tcW w:w="1002" w:type="dxa"/>
            <w:tcBorders>
              <w:top w:val="single" w:sz="4" w:space="0" w:color="000000"/>
              <w:left w:val="single" w:sz="8" w:space="0" w:color="000000"/>
              <w:bottom w:val="single" w:sz="4" w:space="0" w:color="000000"/>
              <w:right w:val="single" w:sz="8" w:space="0" w:color="000000"/>
            </w:tcBorders>
            <w:vAlign w:val="center"/>
          </w:tcPr>
          <w:p w14:paraId="5EAD152E" w14:textId="77777777" w:rsidR="00963AB6" w:rsidRPr="0033055B" w:rsidRDefault="00963AB6" w:rsidP="003E6550">
            <w:pPr>
              <w:jc w:val="center"/>
              <w:rPr>
                <w:rFonts w:cstheme="minorHAnsi"/>
              </w:rPr>
            </w:pPr>
            <w:r>
              <w:t>22</w:t>
            </w:r>
          </w:p>
        </w:tc>
        <w:tc>
          <w:tcPr>
            <w:tcW w:w="1001" w:type="dxa"/>
            <w:tcBorders>
              <w:top w:val="single" w:sz="4" w:space="0" w:color="000000"/>
              <w:left w:val="single" w:sz="8" w:space="0" w:color="000000"/>
              <w:bottom w:val="single" w:sz="4" w:space="0" w:color="000000"/>
              <w:right w:val="single" w:sz="8" w:space="0" w:color="000000"/>
            </w:tcBorders>
            <w:vAlign w:val="center"/>
          </w:tcPr>
          <w:p w14:paraId="31125BBB" w14:textId="77777777" w:rsidR="00963AB6" w:rsidRPr="0033055B" w:rsidRDefault="00963AB6" w:rsidP="003E6550">
            <w:pPr>
              <w:jc w:val="center"/>
              <w:rPr>
                <w:rFonts w:cstheme="minorHAnsi"/>
              </w:rPr>
            </w:pPr>
            <w:r>
              <w:t>8</w:t>
            </w:r>
          </w:p>
        </w:tc>
        <w:tc>
          <w:tcPr>
            <w:tcW w:w="1003" w:type="dxa"/>
            <w:tcBorders>
              <w:top w:val="single" w:sz="4" w:space="0" w:color="000000"/>
              <w:left w:val="single" w:sz="8" w:space="0" w:color="000000"/>
              <w:bottom w:val="single" w:sz="4" w:space="0" w:color="000000"/>
              <w:right w:val="single" w:sz="8" w:space="0" w:color="000000"/>
            </w:tcBorders>
            <w:vAlign w:val="center"/>
          </w:tcPr>
          <w:p w14:paraId="2855DC7E" w14:textId="77777777" w:rsidR="00963AB6" w:rsidRPr="0033055B" w:rsidRDefault="00963AB6" w:rsidP="003E6550">
            <w:pPr>
              <w:jc w:val="center"/>
              <w:rPr>
                <w:rFonts w:cstheme="minorHAnsi"/>
              </w:rPr>
            </w:pPr>
            <w:r>
              <w:t>23</w:t>
            </w:r>
          </w:p>
        </w:tc>
        <w:tc>
          <w:tcPr>
            <w:tcW w:w="1001" w:type="dxa"/>
            <w:tcBorders>
              <w:top w:val="single" w:sz="4" w:space="0" w:color="000000"/>
              <w:left w:val="single" w:sz="8" w:space="0" w:color="000000"/>
              <w:bottom w:val="single" w:sz="4" w:space="0" w:color="000000"/>
              <w:right w:val="single" w:sz="8" w:space="0" w:color="000000"/>
            </w:tcBorders>
            <w:vAlign w:val="center"/>
          </w:tcPr>
          <w:p w14:paraId="00F89329" w14:textId="77777777" w:rsidR="00963AB6" w:rsidRPr="0033055B" w:rsidRDefault="00963AB6" w:rsidP="003E6550">
            <w:pPr>
              <w:jc w:val="center"/>
              <w:rPr>
                <w:rFonts w:cstheme="minorHAnsi"/>
              </w:rPr>
            </w:pPr>
            <w:r>
              <w:t>8</w:t>
            </w:r>
          </w:p>
        </w:tc>
        <w:tc>
          <w:tcPr>
            <w:tcW w:w="1002" w:type="dxa"/>
            <w:tcBorders>
              <w:top w:val="single" w:sz="4" w:space="0" w:color="000000"/>
              <w:left w:val="single" w:sz="8" w:space="0" w:color="000000"/>
              <w:bottom w:val="single" w:sz="4" w:space="0" w:color="000000"/>
              <w:right w:val="single" w:sz="8" w:space="0" w:color="000000"/>
            </w:tcBorders>
            <w:vAlign w:val="center"/>
          </w:tcPr>
          <w:p w14:paraId="5B324703" w14:textId="77777777" w:rsidR="00963AB6" w:rsidRPr="0033055B" w:rsidRDefault="00963AB6" w:rsidP="003E6550">
            <w:pPr>
              <w:jc w:val="center"/>
              <w:rPr>
                <w:rFonts w:cstheme="minorHAnsi"/>
              </w:rPr>
            </w:pPr>
            <w:r>
              <w:t>30</w:t>
            </w:r>
          </w:p>
        </w:tc>
        <w:tc>
          <w:tcPr>
            <w:tcW w:w="1001" w:type="dxa"/>
            <w:tcBorders>
              <w:top w:val="single" w:sz="4" w:space="0" w:color="000000"/>
              <w:left w:val="single" w:sz="8" w:space="0" w:color="000000"/>
              <w:bottom w:val="single" w:sz="4" w:space="0" w:color="000000"/>
              <w:right w:val="single" w:sz="8" w:space="0" w:color="000000"/>
            </w:tcBorders>
            <w:vAlign w:val="center"/>
          </w:tcPr>
          <w:p w14:paraId="32DB23FF" w14:textId="77777777" w:rsidR="00963AB6" w:rsidRPr="0033055B" w:rsidRDefault="00963AB6" w:rsidP="003E6550">
            <w:pPr>
              <w:jc w:val="center"/>
              <w:rPr>
                <w:rFonts w:cstheme="minorHAnsi"/>
              </w:rPr>
            </w:pPr>
            <w:r>
              <w:t>8</w:t>
            </w:r>
          </w:p>
        </w:tc>
        <w:tc>
          <w:tcPr>
            <w:tcW w:w="1002" w:type="dxa"/>
            <w:tcBorders>
              <w:top w:val="single" w:sz="4" w:space="0" w:color="000000"/>
              <w:left w:val="single" w:sz="8" w:space="0" w:color="000000"/>
              <w:bottom w:val="single" w:sz="4" w:space="0" w:color="000000"/>
              <w:right w:val="single" w:sz="8" w:space="0" w:color="000000"/>
            </w:tcBorders>
            <w:vAlign w:val="center"/>
          </w:tcPr>
          <w:p w14:paraId="1C00ADC7" w14:textId="77777777" w:rsidR="00963AB6" w:rsidRPr="0033055B" w:rsidRDefault="00963AB6" w:rsidP="003E6550">
            <w:pPr>
              <w:jc w:val="center"/>
              <w:rPr>
                <w:rFonts w:cstheme="minorHAnsi"/>
              </w:rPr>
            </w:pPr>
            <w:r>
              <w:t>42</w:t>
            </w:r>
          </w:p>
        </w:tc>
      </w:tr>
      <w:tr w:rsidR="00963AB6" w:rsidRPr="0033055B" w14:paraId="29C2C597" w14:textId="77777777" w:rsidTr="003E6550">
        <w:trPr>
          <w:gridAfter w:val="1"/>
          <w:wAfter w:w="6" w:type="dxa"/>
          <w:trHeight w:val="247"/>
          <w:jc w:val="center"/>
        </w:trPr>
        <w:tc>
          <w:tcPr>
            <w:tcW w:w="2114" w:type="dxa"/>
            <w:tcBorders>
              <w:top w:val="single" w:sz="8" w:space="0" w:color="000000"/>
              <w:left w:val="single" w:sz="8" w:space="0" w:color="000000"/>
              <w:bottom w:val="single" w:sz="8" w:space="0" w:color="000000"/>
              <w:right w:val="single" w:sz="8" w:space="0" w:color="000000"/>
            </w:tcBorders>
          </w:tcPr>
          <w:p w14:paraId="5B645D2A" w14:textId="77777777" w:rsidR="00963AB6" w:rsidRPr="0033055B" w:rsidRDefault="00963AB6" w:rsidP="003E6550">
            <w:pPr>
              <w:ind w:left="140"/>
              <w:jc w:val="center"/>
              <w:rPr>
                <w:rFonts w:cstheme="minorHAnsi"/>
              </w:rPr>
            </w:pPr>
            <w:r>
              <w:rPr>
                <w:i/>
              </w:rPr>
              <w:t>&gt;10MW</w:t>
            </w:r>
          </w:p>
        </w:tc>
        <w:tc>
          <w:tcPr>
            <w:tcW w:w="1000" w:type="dxa"/>
            <w:tcBorders>
              <w:top w:val="single" w:sz="4" w:space="0" w:color="000000"/>
              <w:left w:val="single" w:sz="8" w:space="0" w:color="000000"/>
              <w:bottom w:val="single" w:sz="8" w:space="0" w:color="000000"/>
              <w:right w:val="single" w:sz="8" w:space="0" w:color="000000"/>
            </w:tcBorders>
            <w:vAlign w:val="center"/>
          </w:tcPr>
          <w:p w14:paraId="3456FB6F" w14:textId="77777777" w:rsidR="00963AB6" w:rsidRPr="0033055B" w:rsidRDefault="00963AB6" w:rsidP="003E6550">
            <w:pPr>
              <w:jc w:val="center"/>
              <w:rPr>
                <w:rFonts w:cstheme="minorHAnsi"/>
              </w:rPr>
            </w:pPr>
            <w:r>
              <w:t>32</w:t>
            </w:r>
          </w:p>
        </w:tc>
        <w:tc>
          <w:tcPr>
            <w:tcW w:w="1001" w:type="dxa"/>
            <w:tcBorders>
              <w:top w:val="single" w:sz="4" w:space="0" w:color="000000"/>
              <w:left w:val="single" w:sz="8" w:space="0" w:color="000000"/>
              <w:bottom w:val="single" w:sz="8" w:space="0" w:color="000000"/>
              <w:right w:val="single" w:sz="8" w:space="0" w:color="000000"/>
            </w:tcBorders>
            <w:vAlign w:val="center"/>
          </w:tcPr>
          <w:p w14:paraId="07F8AFBD" w14:textId="77777777" w:rsidR="00963AB6" w:rsidRPr="0033055B" w:rsidRDefault="00963AB6" w:rsidP="003E6550">
            <w:pPr>
              <w:jc w:val="center"/>
              <w:rPr>
                <w:rFonts w:cstheme="minorHAnsi"/>
              </w:rPr>
            </w:pPr>
            <w:r>
              <w:t>120</w:t>
            </w:r>
          </w:p>
        </w:tc>
        <w:tc>
          <w:tcPr>
            <w:tcW w:w="1000" w:type="dxa"/>
            <w:tcBorders>
              <w:top w:val="single" w:sz="4" w:space="0" w:color="000000"/>
              <w:left w:val="single" w:sz="8" w:space="0" w:color="000000"/>
              <w:bottom w:val="single" w:sz="8" w:space="0" w:color="000000"/>
              <w:right w:val="single" w:sz="8" w:space="0" w:color="000000"/>
            </w:tcBorders>
            <w:vAlign w:val="center"/>
          </w:tcPr>
          <w:p w14:paraId="6A7A940A" w14:textId="77777777" w:rsidR="00963AB6" w:rsidRPr="0033055B" w:rsidRDefault="00963AB6" w:rsidP="003E6550">
            <w:pPr>
              <w:jc w:val="center"/>
              <w:rPr>
                <w:rFonts w:cstheme="minorHAnsi"/>
              </w:rPr>
            </w:pPr>
            <w:r>
              <w:t>32</w:t>
            </w:r>
          </w:p>
        </w:tc>
        <w:tc>
          <w:tcPr>
            <w:tcW w:w="1003" w:type="dxa"/>
            <w:tcBorders>
              <w:top w:val="single" w:sz="4" w:space="0" w:color="000000"/>
              <w:left w:val="single" w:sz="8" w:space="0" w:color="000000"/>
              <w:bottom w:val="single" w:sz="8" w:space="0" w:color="000000"/>
              <w:right w:val="single" w:sz="8" w:space="0" w:color="000000"/>
            </w:tcBorders>
            <w:vAlign w:val="center"/>
          </w:tcPr>
          <w:p w14:paraId="7B8E2E2D" w14:textId="77777777" w:rsidR="00963AB6" w:rsidRPr="0033055B" w:rsidRDefault="00963AB6" w:rsidP="003E6550">
            <w:pPr>
              <w:jc w:val="center"/>
              <w:rPr>
                <w:rFonts w:cstheme="minorHAnsi"/>
              </w:rPr>
            </w:pPr>
            <w:r>
              <w:t>156</w:t>
            </w:r>
          </w:p>
        </w:tc>
        <w:tc>
          <w:tcPr>
            <w:tcW w:w="1001" w:type="dxa"/>
            <w:tcBorders>
              <w:top w:val="single" w:sz="4" w:space="0" w:color="000000"/>
              <w:left w:val="single" w:sz="8" w:space="0" w:color="000000"/>
              <w:bottom w:val="single" w:sz="8" w:space="0" w:color="000000"/>
              <w:right w:val="single" w:sz="8" w:space="0" w:color="000000"/>
            </w:tcBorders>
            <w:vAlign w:val="center"/>
          </w:tcPr>
          <w:p w14:paraId="188E7FCB" w14:textId="77777777" w:rsidR="00963AB6" w:rsidRPr="0033055B" w:rsidRDefault="00963AB6" w:rsidP="003E6550">
            <w:pPr>
              <w:jc w:val="center"/>
              <w:rPr>
                <w:rFonts w:cstheme="minorHAnsi"/>
              </w:rPr>
            </w:pPr>
            <w:r>
              <w:t>32</w:t>
            </w:r>
          </w:p>
        </w:tc>
        <w:tc>
          <w:tcPr>
            <w:tcW w:w="1002" w:type="dxa"/>
            <w:tcBorders>
              <w:top w:val="single" w:sz="4" w:space="0" w:color="000000"/>
              <w:left w:val="single" w:sz="8" w:space="0" w:color="000000"/>
              <w:bottom w:val="single" w:sz="8" w:space="0" w:color="000000"/>
              <w:right w:val="single" w:sz="8" w:space="0" w:color="000000"/>
            </w:tcBorders>
            <w:vAlign w:val="center"/>
          </w:tcPr>
          <w:p w14:paraId="2DC94392" w14:textId="77777777" w:rsidR="00963AB6" w:rsidRPr="0033055B" w:rsidRDefault="00963AB6" w:rsidP="003E6550">
            <w:pPr>
              <w:jc w:val="center"/>
              <w:rPr>
                <w:rFonts w:cstheme="minorHAnsi"/>
              </w:rPr>
            </w:pPr>
            <w:r>
              <w:t>74</w:t>
            </w:r>
          </w:p>
        </w:tc>
        <w:tc>
          <w:tcPr>
            <w:tcW w:w="1001" w:type="dxa"/>
            <w:tcBorders>
              <w:top w:val="single" w:sz="4" w:space="0" w:color="000000"/>
              <w:left w:val="single" w:sz="8" w:space="0" w:color="000000"/>
              <w:bottom w:val="single" w:sz="8" w:space="0" w:color="000000"/>
              <w:right w:val="single" w:sz="8" w:space="0" w:color="000000"/>
            </w:tcBorders>
            <w:vAlign w:val="center"/>
          </w:tcPr>
          <w:p w14:paraId="1D32140E" w14:textId="77777777" w:rsidR="00963AB6" w:rsidRPr="0033055B" w:rsidRDefault="00963AB6" w:rsidP="003E6550">
            <w:pPr>
              <w:jc w:val="center"/>
              <w:rPr>
                <w:rFonts w:cstheme="minorHAnsi"/>
              </w:rPr>
            </w:pPr>
            <w:r>
              <w:t>32</w:t>
            </w:r>
          </w:p>
        </w:tc>
        <w:tc>
          <w:tcPr>
            <w:tcW w:w="1003" w:type="dxa"/>
            <w:tcBorders>
              <w:top w:val="single" w:sz="4" w:space="0" w:color="000000"/>
              <w:left w:val="single" w:sz="8" w:space="0" w:color="000000"/>
              <w:bottom w:val="single" w:sz="8" w:space="0" w:color="000000"/>
              <w:right w:val="single" w:sz="8" w:space="0" w:color="000000"/>
            </w:tcBorders>
            <w:vAlign w:val="center"/>
          </w:tcPr>
          <w:p w14:paraId="253812A9" w14:textId="77777777" w:rsidR="00963AB6" w:rsidRPr="0033055B" w:rsidRDefault="00963AB6" w:rsidP="003E6550">
            <w:pPr>
              <w:jc w:val="center"/>
              <w:rPr>
                <w:rFonts w:cstheme="minorHAnsi"/>
              </w:rPr>
            </w:pPr>
            <w:r>
              <w:t>65</w:t>
            </w:r>
          </w:p>
        </w:tc>
        <w:tc>
          <w:tcPr>
            <w:tcW w:w="1001" w:type="dxa"/>
            <w:tcBorders>
              <w:top w:val="single" w:sz="4" w:space="0" w:color="000000"/>
              <w:left w:val="single" w:sz="8" w:space="0" w:color="000000"/>
              <w:bottom w:val="single" w:sz="8" w:space="0" w:color="000000"/>
              <w:right w:val="single" w:sz="8" w:space="0" w:color="000000"/>
            </w:tcBorders>
            <w:vAlign w:val="center"/>
          </w:tcPr>
          <w:p w14:paraId="7330B25C" w14:textId="77777777" w:rsidR="00963AB6" w:rsidRPr="0033055B" w:rsidRDefault="00963AB6" w:rsidP="003E6550">
            <w:pPr>
              <w:jc w:val="center"/>
              <w:rPr>
                <w:rFonts w:cstheme="minorHAnsi"/>
              </w:rPr>
            </w:pPr>
            <w:r>
              <w:t>32</w:t>
            </w:r>
          </w:p>
        </w:tc>
        <w:tc>
          <w:tcPr>
            <w:tcW w:w="1002" w:type="dxa"/>
            <w:tcBorders>
              <w:top w:val="single" w:sz="4" w:space="0" w:color="000000"/>
              <w:left w:val="single" w:sz="8" w:space="0" w:color="000000"/>
              <w:bottom w:val="single" w:sz="8" w:space="0" w:color="000000"/>
              <w:right w:val="single" w:sz="8" w:space="0" w:color="000000"/>
            </w:tcBorders>
            <w:vAlign w:val="center"/>
          </w:tcPr>
          <w:p w14:paraId="2E3772E0" w14:textId="77777777" w:rsidR="00963AB6" w:rsidRPr="0033055B" w:rsidRDefault="00963AB6" w:rsidP="003E6550">
            <w:pPr>
              <w:jc w:val="center"/>
              <w:rPr>
                <w:rFonts w:cstheme="minorHAnsi"/>
              </w:rPr>
            </w:pPr>
            <w:r>
              <w:t>99</w:t>
            </w:r>
          </w:p>
        </w:tc>
        <w:tc>
          <w:tcPr>
            <w:tcW w:w="1001" w:type="dxa"/>
            <w:tcBorders>
              <w:top w:val="single" w:sz="4" w:space="0" w:color="000000"/>
              <w:left w:val="single" w:sz="8" w:space="0" w:color="000000"/>
              <w:bottom w:val="single" w:sz="8" w:space="0" w:color="000000"/>
              <w:right w:val="single" w:sz="8" w:space="0" w:color="000000"/>
            </w:tcBorders>
            <w:vAlign w:val="center"/>
          </w:tcPr>
          <w:p w14:paraId="203ED42B" w14:textId="77777777" w:rsidR="00963AB6" w:rsidRPr="0033055B" w:rsidRDefault="00963AB6" w:rsidP="003E6550">
            <w:pPr>
              <w:jc w:val="center"/>
              <w:rPr>
                <w:rFonts w:cstheme="minorHAnsi"/>
              </w:rPr>
            </w:pPr>
            <w:r>
              <w:t>32</w:t>
            </w:r>
          </w:p>
        </w:tc>
        <w:tc>
          <w:tcPr>
            <w:tcW w:w="1002" w:type="dxa"/>
            <w:tcBorders>
              <w:top w:val="single" w:sz="4" w:space="0" w:color="000000"/>
              <w:left w:val="single" w:sz="8" w:space="0" w:color="000000"/>
              <w:bottom w:val="single" w:sz="8" w:space="0" w:color="000000"/>
              <w:right w:val="single" w:sz="8" w:space="0" w:color="000000"/>
            </w:tcBorders>
            <w:vAlign w:val="center"/>
          </w:tcPr>
          <w:p w14:paraId="255E3277" w14:textId="77777777" w:rsidR="00963AB6" w:rsidRPr="0033055B" w:rsidRDefault="00963AB6" w:rsidP="003E6550">
            <w:pPr>
              <w:jc w:val="center"/>
              <w:rPr>
                <w:rFonts w:cstheme="minorHAnsi"/>
              </w:rPr>
            </w:pPr>
            <w:r>
              <w:t>102</w:t>
            </w:r>
          </w:p>
        </w:tc>
      </w:tr>
      <w:tr w:rsidR="00963AB6" w:rsidRPr="0033055B" w14:paraId="42C25710" w14:textId="77777777" w:rsidTr="003E6550">
        <w:trPr>
          <w:gridAfter w:val="1"/>
          <w:wAfter w:w="6" w:type="dxa"/>
          <w:trHeight w:val="247"/>
          <w:jc w:val="center"/>
        </w:trPr>
        <w:tc>
          <w:tcPr>
            <w:tcW w:w="2114" w:type="dxa"/>
            <w:tcBorders>
              <w:top w:val="single" w:sz="8" w:space="0" w:color="000000"/>
              <w:left w:val="single" w:sz="8" w:space="0" w:color="000000"/>
              <w:bottom w:val="single" w:sz="8" w:space="0" w:color="000000"/>
              <w:right w:val="single" w:sz="8" w:space="0" w:color="000000"/>
            </w:tcBorders>
          </w:tcPr>
          <w:p w14:paraId="3022FAD6" w14:textId="77777777" w:rsidR="00963AB6" w:rsidRPr="0033055B" w:rsidRDefault="00963AB6" w:rsidP="003E6550">
            <w:pPr>
              <w:ind w:left="140"/>
              <w:jc w:val="center"/>
              <w:rPr>
                <w:rFonts w:cstheme="minorHAnsi"/>
              </w:rPr>
            </w:pPr>
            <w:r>
              <w:rPr>
                <w:i/>
              </w:rPr>
              <w:t>Prej të cilave pompim</w:t>
            </w:r>
          </w:p>
        </w:tc>
        <w:tc>
          <w:tcPr>
            <w:tcW w:w="1000" w:type="dxa"/>
            <w:tcBorders>
              <w:top w:val="single" w:sz="8" w:space="0" w:color="000000"/>
              <w:left w:val="single" w:sz="8" w:space="0" w:color="000000"/>
              <w:bottom w:val="single" w:sz="8" w:space="0" w:color="000000"/>
              <w:right w:val="single" w:sz="8" w:space="0" w:color="000000"/>
            </w:tcBorders>
            <w:vAlign w:val="center"/>
          </w:tcPr>
          <w:p w14:paraId="48FDBA6F" w14:textId="77777777" w:rsidR="00963AB6" w:rsidRPr="0033055B" w:rsidRDefault="00963AB6" w:rsidP="003E6550">
            <w:pPr>
              <w:jc w:val="center"/>
              <w:rPr>
                <w:rFonts w:cstheme="minorHAnsi"/>
                <w:lang w:val="en-GB"/>
              </w:rPr>
            </w:pPr>
          </w:p>
        </w:tc>
        <w:tc>
          <w:tcPr>
            <w:tcW w:w="1001" w:type="dxa"/>
            <w:tcBorders>
              <w:top w:val="single" w:sz="8" w:space="0" w:color="000000"/>
              <w:left w:val="single" w:sz="8" w:space="0" w:color="000000"/>
              <w:bottom w:val="single" w:sz="8" w:space="0" w:color="000000"/>
              <w:right w:val="single" w:sz="8" w:space="0" w:color="000000"/>
            </w:tcBorders>
            <w:vAlign w:val="center"/>
          </w:tcPr>
          <w:p w14:paraId="48E6143B" w14:textId="77777777" w:rsidR="00963AB6" w:rsidRPr="0033055B" w:rsidRDefault="00963AB6" w:rsidP="003E6550">
            <w:pPr>
              <w:jc w:val="center"/>
              <w:rPr>
                <w:rFonts w:cstheme="minorHAnsi"/>
                <w:lang w:val="en-GB"/>
              </w:rPr>
            </w:pPr>
          </w:p>
        </w:tc>
        <w:tc>
          <w:tcPr>
            <w:tcW w:w="1000" w:type="dxa"/>
            <w:tcBorders>
              <w:top w:val="single" w:sz="8" w:space="0" w:color="000000"/>
              <w:left w:val="single" w:sz="8" w:space="0" w:color="000000"/>
              <w:bottom w:val="single" w:sz="8" w:space="0" w:color="000000"/>
              <w:right w:val="single" w:sz="8" w:space="0" w:color="000000"/>
            </w:tcBorders>
            <w:vAlign w:val="center"/>
          </w:tcPr>
          <w:p w14:paraId="3DA30874" w14:textId="77777777" w:rsidR="00963AB6" w:rsidRPr="0033055B" w:rsidRDefault="00963AB6" w:rsidP="003E6550">
            <w:pPr>
              <w:jc w:val="center"/>
              <w:rPr>
                <w:rFonts w:cstheme="minorHAnsi"/>
                <w:lang w:val="en-GB"/>
              </w:rPr>
            </w:pPr>
          </w:p>
        </w:tc>
        <w:tc>
          <w:tcPr>
            <w:tcW w:w="1003" w:type="dxa"/>
            <w:tcBorders>
              <w:top w:val="single" w:sz="8" w:space="0" w:color="000000"/>
              <w:left w:val="single" w:sz="8" w:space="0" w:color="000000"/>
              <w:bottom w:val="single" w:sz="8" w:space="0" w:color="000000"/>
              <w:right w:val="single" w:sz="8" w:space="0" w:color="000000"/>
            </w:tcBorders>
            <w:vAlign w:val="center"/>
          </w:tcPr>
          <w:p w14:paraId="32882EFF" w14:textId="77777777" w:rsidR="00963AB6" w:rsidRPr="0033055B" w:rsidRDefault="00963AB6" w:rsidP="003E6550">
            <w:pPr>
              <w:jc w:val="center"/>
              <w:rPr>
                <w:rFonts w:cstheme="minorHAnsi"/>
                <w:lang w:val="en-GB"/>
              </w:rPr>
            </w:pPr>
          </w:p>
        </w:tc>
        <w:tc>
          <w:tcPr>
            <w:tcW w:w="1001" w:type="dxa"/>
            <w:tcBorders>
              <w:top w:val="single" w:sz="8" w:space="0" w:color="000000"/>
              <w:left w:val="single" w:sz="8" w:space="0" w:color="000000"/>
              <w:bottom w:val="single" w:sz="8" w:space="0" w:color="000000"/>
              <w:right w:val="single" w:sz="8" w:space="0" w:color="000000"/>
            </w:tcBorders>
            <w:vAlign w:val="center"/>
          </w:tcPr>
          <w:p w14:paraId="2D7FB2D9" w14:textId="77777777" w:rsidR="00963AB6" w:rsidRPr="0033055B" w:rsidRDefault="00963AB6" w:rsidP="003E6550">
            <w:pPr>
              <w:jc w:val="center"/>
              <w:rPr>
                <w:rFonts w:cstheme="minorHAnsi"/>
                <w:lang w:val="en-GB"/>
              </w:rPr>
            </w:pPr>
          </w:p>
        </w:tc>
        <w:tc>
          <w:tcPr>
            <w:tcW w:w="1002" w:type="dxa"/>
            <w:tcBorders>
              <w:top w:val="single" w:sz="8" w:space="0" w:color="000000"/>
              <w:left w:val="single" w:sz="8" w:space="0" w:color="000000"/>
              <w:bottom w:val="single" w:sz="8" w:space="0" w:color="000000"/>
              <w:right w:val="single" w:sz="8" w:space="0" w:color="000000"/>
            </w:tcBorders>
            <w:vAlign w:val="center"/>
          </w:tcPr>
          <w:p w14:paraId="16FCE9E1" w14:textId="77777777" w:rsidR="00963AB6" w:rsidRPr="0033055B" w:rsidRDefault="00963AB6" w:rsidP="003E6550">
            <w:pPr>
              <w:jc w:val="center"/>
              <w:rPr>
                <w:rFonts w:cstheme="minorHAnsi"/>
                <w:lang w:val="en-GB"/>
              </w:rPr>
            </w:pPr>
          </w:p>
        </w:tc>
        <w:tc>
          <w:tcPr>
            <w:tcW w:w="1001" w:type="dxa"/>
            <w:tcBorders>
              <w:top w:val="single" w:sz="8" w:space="0" w:color="000000"/>
              <w:left w:val="single" w:sz="8" w:space="0" w:color="000000"/>
              <w:bottom w:val="single" w:sz="8" w:space="0" w:color="000000"/>
              <w:right w:val="single" w:sz="8" w:space="0" w:color="000000"/>
            </w:tcBorders>
            <w:vAlign w:val="center"/>
          </w:tcPr>
          <w:p w14:paraId="7FA5154E" w14:textId="77777777" w:rsidR="00963AB6" w:rsidRPr="0033055B" w:rsidRDefault="00963AB6" w:rsidP="003E6550">
            <w:pPr>
              <w:jc w:val="center"/>
              <w:rPr>
                <w:rFonts w:cstheme="minorHAnsi"/>
                <w:lang w:val="en-GB"/>
              </w:rPr>
            </w:pPr>
          </w:p>
        </w:tc>
        <w:tc>
          <w:tcPr>
            <w:tcW w:w="1003" w:type="dxa"/>
            <w:tcBorders>
              <w:top w:val="single" w:sz="8" w:space="0" w:color="000000"/>
              <w:left w:val="single" w:sz="8" w:space="0" w:color="000000"/>
              <w:bottom w:val="single" w:sz="8" w:space="0" w:color="000000"/>
              <w:right w:val="single" w:sz="8" w:space="0" w:color="000000"/>
            </w:tcBorders>
            <w:vAlign w:val="center"/>
          </w:tcPr>
          <w:p w14:paraId="7B2F56DB" w14:textId="77777777" w:rsidR="00963AB6" w:rsidRPr="0033055B" w:rsidRDefault="00963AB6" w:rsidP="003E6550">
            <w:pPr>
              <w:jc w:val="center"/>
              <w:rPr>
                <w:rFonts w:cstheme="minorHAnsi"/>
                <w:lang w:val="en-GB"/>
              </w:rPr>
            </w:pPr>
          </w:p>
        </w:tc>
        <w:tc>
          <w:tcPr>
            <w:tcW w:w="1001" w:type="dxa"/>
            <w:tcBorders>
              <w:top w:val="single" w:sz="8" w:space="0" w:color="000000"/>
              <w:left w:val="single" w:sz="8" w:space="0" w:color="000000"/>
              <w:bottom w:val="single" w:sz="8" w:space="0" w:color="000000"/>
              <w:right w:val="single" w:sz="8" w:space="0" w:color="000000"/>
            </w:tcBorders>
            <w:vAlign w:val="center"/>
          </w:tcPr>
          <w:p w14:paraId="622403C5" w14:textId="77777777" w:rsidR="00963AB6" w:rsidRPr="0033055B" w:rsidRDefault="00963AB6" w:rsidP="003E6550">
            <w:pPr>
              <w:jc w:val="center"/>
              <w:rPr>
                <w:rFonts w:cstheme="minorHAnsi"/>
                <w:lang w:val="en-GB"/>
              </w:rPr>
            </w:pPr>
          </w:p>
        </w:tc>
        <w:tc>
          <w:tcPr>
            <w:tcW w:w="1002" w:type="dxa"/>
            <w:tcBorders>
              <w:top w:val="single" w:sz="8" w:space="0" w:color="000000"/>
              <w:left w:val="single" w:sz="8" w:space="0" w:color="000000"/>
              <w:bottom w:val="single" w:sz="8" w:space="0" w:color="000000"/>
              <w:right w:val="single" w:sz="8" w:space="0" w:color="000000"/>
            </w:tcBorders>
            <w:vAlign w:val="center"/>
          </w:tcPr>
          <w:p w14:paraId="1AB19248" w14:textId="77777777" w:rsidR="00963AB6" w:rsidRPr="0033055B" w:rsidRDefault="00963AB6" w:rsidP="003E6550">
            <w:pPr>
              <w:jc w:val="center"/>
              <w:rPr>
                <w:rFonts w:cstheme="minorHAnsi"/>
                <w:lang w:val="en-GB"/>
              </w:rPr>
            </w:pPr>
          </w:p>
        </w:tc>
        <w:tc>
          <w:tcPr>
            <w:tcW w:w="1001" w:type="dxa"/>
            <w:tcBorders>
              <w:top w:val="single" w:sz="8" w:space="0" w:color="000000"/>
              <w:left w:val="single" w:sz="8" w:space="0" w:color="000000"/>
              <w:bottom w:val="single" w:sz="8" w:space="0" w:color="000000"/>
              <w:right w:val="single" w:sz="8" w:space="0" w:color="000000"/>
            </w:tcBorders>
            <w:vAlign w:val="center"/>
          </w:tcPr>
          <w:p w14:paraId="29459558" w14:textId="77777777" w:rsidR="00963AB6" w:rsidRPr="0033055B" w:rsidRDefault="00963AB6" w:rsidP="003E6550">
            <w:pPr>
              <w:jc w:val="center"/>
              <w:rPr>
                <w:rFonts w:cstheme="minorHAnsi"/>
                <w:lang w:val="en-GB"/>
              </w:rPr>
            </w:pPr>
          </w:p>
        </w:tc>
        <w:tc>
          <w:tcPr>
            <w:tcW w:w="1002" w:type="dxa"/>
            <w:tcBorders>
              <w:top w:val="single" w:sz="8" w:space="0" w:color="000000"/>
              <w:left w:val="single" w:sz="8" w:space="0" w:color="000000"/>
              <w:bottom w:val="single" w:sz="8" w:space="0" w:color="000000"/>
              <w:right w:val="single" w:sz="8" w:space="0" w:color="000000"/>
            </w:tcBorders>
            <w:vAlign w:val="center"/>
          </w:tcPr>
          <w:p w14:paraId="6D7F2BDB" w14:textId="77777777" w:rsidR="00963AB6" w:rsidRPr="0033055B" w:rsidRDefault="00963AB6" w:rsidP="003E6550">
            <w:pPr>
              <w:jc w:val="center"/>
              <w:rPr>
                <w:rFonts w:cstheme="minorHAnsi"/>
                <w:lang w:val="en-GB"/>
              </w:rPr>
            </w:pPr>
          </w:p>
        </w:tc>
      </w:tr>
      <w:tr w:rsidR="00963AB6" w:rsidRPr="0033055B" w14:paraId="20D7B033" w14:textId="77777777" w:rsidTr="003E6550">
        <w:trPr>
          <w:gridAfter w:val="1"/>
          <w:wAfter w:w="6" w:type="dxa"/>
          <w:trHeight w:val="247"/>
          <w:jc w:val="center"/>
        </w:trPr>
        <w:tc>
          <w:tcPr>
            <w:tcW w:w="2114" w:type="dxa"/>
            <w:tcBorders>
              <w:top w:val="single" w:sz="8" w:space="0" w:color="000000"/>
              <w:left w:val="single" w:sz="8" w:space="0" w:color="000000"/>
              <w:bottom w:val="single" w:sz="8" w:space="0" w:color="000000"/>
              <w:right w:val="single" w:sz="8" w:space="0" w:color="000000"/>
            </w:tcBorders>
          </w:tcPr>
          <w:p w14:paraId="3492C6DF" w14:textId="77777777" w:rsidR="00963AB6" w:rsidRPr="0033055B" w:rsidRDefault="00963AB6" w:rsidP="003E6550">
            <w:pPr>
              <w:jc w:val="center"/>
              <w:rPr>
                <w:rFonts w:cstheme="minorHAnsi"/>
              </w:rPr>
            </w:pPr>
            <w:r>
              <w:t xml:space="preserve">Gjeotermik </w:t>
            </w:r>
          </w:p>
        </w:tc>
        <w:tc>
          <w:tcPr>
            <w:tcW w:w="1000" w:type="dxa"/>
            <w:tcBorders>
              <w:top w:val="single" w:sz="8" w:space="0" w:color="000000"/>
              <w:left w:val="single" w:sz="8" w:space="0" w:color="000000"/>
              <w:bottom w:val="single" w:sz="8" w:space="0" w:color="000000"/>
              <w:right w:val="single" w:sz="8" w:space="0" w:color="000000"/>
            </w:tcBorders>
            <w:vAlign w:val="center"/>
          </w:tcPr>
          <w:p w14:paraId="7DE42C7A" w14:textId="77777777" w:rsidR="00963AB6" w:rsidRPr="0033055B" w:rsidRDefault="00963AB6" w:rsidP="003E6550">
            <w:pPr>
              <w:jc w:val="center"/>
              <w:rPr>
                <w:rFonts w:cstheme="minorHAnsi"/>
                <w:lang w:val="en-GB"/>
              </w:rPr>
            </w:pPr>
          </w:p>
        </w:tc>
        <w:tc>
          <w:tcPr>
            <w:tcW w:w="1001" w:type="dxa"/>
            <w:tcBorders>
              <w:top w:val="single" w:sz="8" w:space="0" w:color="000000"/>
              <w:left w:val="single" w:sz="8" w:space="0" w:color="000000"/>
              <w:bottom w:val="single" w:sz="8" w:space="0" w:color="000000"/>
              <w:right w:val="single" w:sz="8" w:space="0" w:color="000000"/>
            </w:tcBorders>
            <w:vAlign w:val="center"/>
          </w:tcPr>
          <w:p w14:paraId="358B51DC" w14:textId="77777777" w:rsidR="00963AB6" w:rsidRPr="0033055B" w:rsidRDefault="00963AB6" w:rsidP="003E6550">
            <w:pPr>
              <w:jc w:val="center"/>
              <w:rPr>
                <w:rFonts w:cstheme="minorHAnsi"/>
                <w:lang w:val="en-GB"/>
              </w:rPr>
            </w:pPr>
          </w:p>
        </w:tc>
        <w:tc>
          <w:tcPr>
            <w:tcW w:w="1000" w:type="dxa"/>
            <w:tcBorders>
              <w:top w:val="single" w:sz="8" w:space="0" w:color="000000"/>
              <w:left w:val="single" w:sz="8" w:space="0" w:color="000000"/>
              <w:bottom w:val="single" w:sz="8" w:space="0" w:color="000000"/>
              <w:right w:val="single" w:sz="8" w:space="0" w:color="000000"/>
            </w:tcBorders>
            <w:vAlign w:val="center"/>
          </w:tcPr>
          <w:p w14:paraId="3CD04368" w14:textId="77777777" w:rsidR="00963AB6" w:rsidRPr="0033055B" w:rsidRDefault="00963AB6" w:rsidP="003E6550">
            <w:pPr>
              <w:jc w:val="center"/>
              <w:rPr>
                <w:rFonts w:cstheme="minorHAnsi"/>
                <w:lang w:val="en-GB"/>
              </w:rPr>
            </w:pPr>
          </w:p>
        </w:tc>
        <w:tc>
          <w:tcPr>
            <w:tcW w:w="1003" w:type="dxa"/>
            <w:tcBorders>
              <w:top w:val="single" w:sz="8" w:space="0" w:color="000000"/>
              <w:left w:val="single" w:sz="8" w:space="0" w:color="000000"/>
              <w:bottom w:val="single" w:sz="8" w:space="0" w:color="000000"/>
              <w:right w:val="single" w:sz="8" w:space="0" w:color="000000"/>
            </w:tcBorders>
            <w:vAlign w:val="center"/>
          </w:tcPr>
          <w:p w14:paraId="1CB6C87F" w14:textId="77777777" w:rsidR="00963AB6" w:rsidRPr="0033055B" w:rsidRDefault="00963AB6" w:rsidP="003E6550">
            <w:pPr>
              <w:jc w:val="center"/>
              <w:rPr>
                <w:rFonts w:cstheme="minorHAnsi"/>
                <w:lang w:val="en-GB"/>
              </w:rPr>
            </w:pPr>
          </w:p>
        </w:tc>
        <w:tc>
          <w:tcPr>
            <w:tcW w:w="1001" w:type="dxa"/>
            <w:tcBorders>
              <w:top w:val="single" w:sz="8" w:space="0" w:color="000000"/>
              <w:left w:val="single" w:sz="8" w:space="0" w:color="000000"/>
              <w:bottom w:val="single" w:sz="8" w:space="0" w:color="000000"/>
              <w:right w:val="single" w:sz="8" w:space="0" w:color="000000"/>
            </w:tcBorders>
            <w:vAlign w:val="center"/>
          </w:tcPr>
          <w:p w14:paraId="2B367034" w14:textId="77777777" w:rsidR="00963AB6" w:rsidRPr="0033055B" w:rsidRDefault="00963AB6" w:rsidP="003E6550">
            <w:pPr>
              <w:jc w:val="center"/>
              <w:rPr>
                <w:rFonts w:cstheme="minorHAnsi"/>
                <w:lang w:val="en-GB"/>
              </w:rPr>
            </w:pPr>
          </w:p>
        </w:tc>
        <w:tc>
          <w:tcPr>
            <w:tcW w:w="1002" w:type="dxa"/>
            <w:tcBorders>
              <w:top w:val="single" w:sz="8" w:space="0" w:color="000000"/>
              <w:left w:val="single" w:sz="8" w:space="0" w:color="000000"/>
              <w:bottom w:val="single" w:sz="8" w:space="0" w:color="000000"/>
              <w:right w:val="single" w:sz="8" w:space="0" w:color="000000"/>
            </w:tcBorders>
            <w:vAlign w:val="center"/>
          </w:tcPr>
          <w:p w14:paraId="627B39FA" w14:textId="77777777" w:rsidR="00963AB6" w:rsidRPr="0033055B" w:rsidRDefault="00963AB6" w:rsidP="003E6550">
            <w:pPr>
              <w:jc w:val="center"/>
              <w:rPr>
                <w:rFonts w:cstheme="minorHAnsi"/>
                <w:lang w:val="en-GB"/>
              </w:rPr>
            </w:pPr>
          </w:p>
        </w:tc>
        <w:tc>
          <w:tcPr>
            <w:tcW w:w="1001" w:type="dxa"/>
            <w:tcBorders>
              <w:top w:val="single" w:sz="8" w:space="0" w:color="000000"/>
              <w:left w:val="single" w:sz="8" w:space="0" w:color="000000"/>
              <w:bottom w:val="single" w:sz="8" w:space="0" w:color="000000"/>
              <w:right w:val="single" w:sz="8" w:space="0" w:color="000000"/>
            </w:tcBorders>
            <w:vAlign w:val="center"/>
          </w:tcPr>
          <w:p w14:paraId="2C6C29C7" w14:textId="77777777" w:rsidR="00963AB6" w:rsidRPr="0033055B" w:rsidRDefault="00963AB6" w:rsidP="003E6550">
            <w:pPr>
              <w:jc w:val="center"/>
              <w:rPr>
                <w:rFonts w:cstheme="minorHAnsi"/>
                <w:lang w:val="en-GB"/>
              </w:rPr>
            </w:pPr>
          </w:p>
        </w:tc>
        <w:tc>
          <w:tcPr>
            <w:tcW w:w="1003" w:type="dxa"/>
            <w:tcBorders>
              <w:top w:val="single" w:sz="8" w:space="0" w:color="000000"/>
              <w:left w:val="single" w:sz="8" w:space="0" w:color="000000"/>
              <w:bottom w:val="single" w:sz="8" w:space="0" w:color="000000"/>
              <w:right w:val="single" w:sz="8" w:space="0" w:color="000000"/>
            </w:tcBorders>
            <w:vAlign w:val="center"/>
          </w:tcPr>
          <w:p w14:paraId="4C8B77BB" w14:textId="77777777" w:rsidR="00963AB6" w:rsidRPr="0033055B" w:rsidRDefault="00963AB6" w:rsidP="003E6550">
            <w:pPr>
              <w:jc w:val="center"/>
              <w:rPr>
                <w:rFonts w:cstheme="minorHAnsi"/>
                <w:lang w:val="en-GB"/>
              </w:rPr>
            </w:pPr>
          </w:p>
        </w:tc>
        <w:tc>
          <w:tcPr>
            <w:tcW w:w="1001" w:type="dxa"/>
            <w:tcBorders>
              <w:top w:val="single" w:sz="8" w:space="0" w:color="000000"/>
              <w:left w:val="single" w:sz="8" w:space="0" w:color="000000"/>
              <w:bottom w:val="single" w:sz="8" w:space="0" w:color="000000"/>
              <w:right w:val="single" w:sz="8" w:space="0" w:color="000000"/>
            </w:tcBorders>
            <w:vAlign w:val="center"/>
          </w:tcPr>
          <w:p w14:paraId="1D7D22DE" w14:textId="77777777" w:rsidR="00963AB6" w:rsidRPr="0033055B" w:rsidRDefault="00963AB6" w:rsidP="003E6550">
            <w:pPr>
              <w:jc w:val="center"/>
              <w:rPr>
                <w:rFonts w:cstheme="minorHAnsi"/>
                <w:lang w:val="en-GB"/>
              </w:rPr>
            </w:pPr>
          </w:p>
        </w:tc>
        <w:tc>
          <w:tcPr>
            <w:tcW w:w="1002" w:type="dxa"/>
            <w:tcBorders>
              <w:top w:val="single" w:sz="8" w:space="0" w:color="000000"/>
              <w:left w:val="single" w:sz="8" w:space="0" w:color="000000"/>
              <w:bottom w:val="single" w:sz="8" w:space="0" w:color="000000"/>
              <w:right w:val="single" w:sz="8" w:space="0" w:color="000000"/>
            </w:tcBorders>
            <w:vAlign w:val="center"/>
          </w:tcPr>
          <w:p w14:paraId="64AF61A2" w14:textId="77777777" w:rsidR="00963AB6" w:rsidRPr="0033055B" w:rsidRDefault="00963AB6" w:rsidP="003E6550">
            <w:pPr>
              <w:jc w:val="center"/>
              <w:rPr>
                <w:rFonts w:cstheme="minorHAnsi"/>
                <w:lang w:val="en-GB"/>
              </w:rPr>
            </w:pPr>
          </w:p>
        </w:tc>
        <w:tc>
          <w:tcPr>
            <w:tcW w:w="1001" w:type="dxa"/>
            <w:tcBorders>
              <w:top w:val="single" w:sz="8" w:space="0" w:color="000000"/>
              <w:left w:val="single" w:sz="8" w:space="0" w:color="000000"/>
              <w:bottom w:val="single" w:sz="8" w:space="0" w:color="000000"/>
              <w:right w:val="single" w:sz="8" w:space="0" w:color="000000"/>
            </w:tcBorders>
            <w:vAlign w:val="center"/>
          </w:tcPr>
          <w:p w14:paraId="37416C87" w14:textId="77777777" w:rsidR="00963AB6" w:rsidRPr="0033055B" w:rsidRDefault="00963AB6" w:rsidP="003E6550">
            <w:pPr>
              <w:jc w:val="center"/>
              <w:rPr>
                <w:rFonts w:cstheme="minorHAnsi"/>
                <w:lang w:val="en-GB"/>
              </w:rPr>
            </w:pPr>
          </w:p>
        </w:tc>
        <w:tc>
          <w:tcPr>
            <w:tcW w:w="1002" w:type="dxa"/>
            <w:tcBorders>
              <w:top w:val="single" w:sz="8" w:space="0" w:color="000000"/>
              <w:left w:val="single" w:sz="8" w:space="0" w:color="000000"/>
              <w:bottom w:val="single" w:sz="8" w:space="0" w:color="000000"/>
              <w:right w:val="single" w:sz="8" w:space="0" w:color="000000"/>
            </w:tcBorders>
            <w:vAlign w:val="center"/>
          </w:tcPr>
          <w:p w14:paraId="63ED475D" w14:textId="77777777" w:rsidR="00963AB6" w:rsidRPr="0033055B" w:rsidRDefault="00963AB6" w:rsidP="003E6550">
            <w:pPr>
              <w:jc w:val="center"/>
              <w:rPr>
                <w:rFonts w:cstheme="minorHAnsi"/>
                <w:lang w:val="en-GB"/>
              </w:rPr>
            </w:pPr>
          </w:p>
        </w:tc>
      </w:tr>
      <w:tr w:rsidR="00963AB6" w:rsidRPr="0033055B" w14:paraId="15602246" w14:textId="77777777" w:rsidTr="003E6550">
        <w:trPr>
          <w:gridAfter w:val="1"/>
          <w:wAfter w:w="6" w:type="dxa"/>
          <w:trHeight w:val="247"/>
          <w:jc w:val="center"/>
        </w:trPr>
        <w:tc>
          <w:tcPr>
            <w:tcW w:w="2114" w:type="dxa"/>
            <w:tcBorders>
              <w:top w:val="single" w:sz="8" w:space="0" w:color="000000"/>
              <w:left w:val="single" w:sz="8" w:space="0" w:color="000000"/>
              <w:bottom w:val="single" w:sz="8" w:space="0" w:color="000000"/>
              <w:right w:val="single" w:sz="8" w:space="0" w:color="000000"/>
            </w:tcBorders>
          </w:tcPr>
          <w:p w14:paraId="0D8F6035" w14:textId="77777777" w:rsidR="00963AB6" w:rsidRPr="0033055B" w:rsidRDefault="00963AB6" w:rsidP="003E6550">
            <w:pPr>
              <w:jc w:val="center"/>
              <w:rPr>
                <w:rFonts w:cstheme="minorHAnsi"/>
              </w:rPr>
            </w:pPr>
            <w:r>
              <w:t xml:space="preserve">Diellor: </w:t>
            </w:r>
          </w:p>
        </w:tc>
        <w:tc>
          <w:tcPr>
            <w:tcW w:w="1000" w:type="dxa"/>
            <w:tcBorders>
              <w:top w:val="single" w:sz="8" w:space="0" w:color="000000"/>
              <w:left w:val="single" w:sz="8" w:space="0" w:color="000000"/>
              <w:bottom w:val="single" w:sz="8" w:space="0" w:color="000000"/>
              <w:right w:val="single" w:sz="8" w:space="0" w:color="000000"/>
            </w:tcBorders>
            <w:vAlign w:val="center"/>
          </w:tcPr>
          <w:p w14:paraId="506A9643" w14:textId="77777777" w:rsidR="00963AB6" w:rsidRPr="0033055B" w:rsidRDefault="00963AB6" w:rsidP="003E6550">
            <w:pPr>
              <w:jc w:val="center"/>
              <w:rPr>
                <w:rFonts w:cstheme="minorHAnsi"/>
                <w:lang w:val="en-GB"/>
              </w:rPr>
            </w:pPr>
          </w:p>
        </w:tc>
        <w:tc>
          <w:tcPr>
            <w:tcW w:w="1001" w:type="dxa"/>
            <w:tcBorders>
              <w:top w:val="single" w:sz="8" w:space="0" w:color="000000"/>
              <w:left w:val="single" w:sz="8" w:space="0" w:color="000000"/>
              <w:bottom w:val="single" w:sz="8" w:space="0" w:color="000000"/>
              <w:right w:val="single" w:sz="8" w:space="0" w:color="000000"/>
            </w:tcBorders>
            <w:vAlign w:val="center"/>
          </w:tcPr>
          <w:p w14:paraId="24136D58" w14:textId="77777777" w:rsidR="00963AB6" w:rsidRPr="0033055B" w:rsidRDefault="00963AB6" w:rsidP="003E6550">
            <w:pPr>
              <w:jc w:val="center"/>
              <w:rPr>
                <w:rFonts w:cstheme="minorHAnsi"/>
                <w:lang w:val="en-GB"/>
              </w:rPr>
            </w:pPr>
          </w:p>
        </w:tc>
        <w:tc>
          <w:tcPr>
            <w:tcW w:w="1000" w:type="dxa"/>
            <w:tcBorders>
              <w:top w:val="single" w:sz="8" w:space="0" w:color="000000"/>
              <w:left w:val="single" w:sz="8" w:space="0" w:color="000000"/>
              <w:bottom w:val="single" w:sz="8" w:space="0" w:color="000000"/>
              <w:right w:val="single" w:sz="8" w:space="0" w:color="000000"/>
            </w:tcBorders>
            <w:vAlign w:val="center"/>
          </w:tcPr>
          <w:p w14:paraId="18569D1E" w14:textId="77777777" w:rsidR="00963AB6" w:rsidRPr="0033055B" w:rsidRDefault="00963AB6" w:rsidP="003E6550">
            <w:pPr>
              <w:jc w:val="center"/>
              <w:rPr>
                <w:rFonts w:cstheme="minorHAnsi"/>
                <w:lang w:val="en-GB"/>
              </w:rPr>
            </w:pPr>
          </w:p>
        </w:tc>
        <w:tc>
          <w:tcPr>
            <w:tcW w:w="1003" w:type="dxa"/>
            <w:tcBorders>
              <w:top w:val="single" w:sz="8" w:space="0" w:color="000000"/>
              <w:left w:val="single" w:sz="8" w:space="0" w:color="000000"/>
              <w:bottom w:val="single" w:sz="8" w:space="0" w:color="000000"/>
              <w:right w:val="single" w:sz="8" w:space="0" w:color="000000"/>
            </w:tcBorders>
            <w:vAlign w:val="center"/>
          </w:tcPr>
          <w:p w14:paraId="4DD63AB3" w14:textId="77777777" w:rsidR="00963AB6" w:rsidRPr="0033055B" w:rsidRDefault="00963AB6" w:rsidP="003E6550">
            <w:pPr>
              <w:jc w:val="center"/>
              <w:rPr>
                <w:rFonts w:cstheme="minorHAnsi"/>
                <w:lang w:val="en-GB"/>
              </w:rPr>
            </w:pPr>
          </w:p>
        </w:tc>
        <w:tc>
          <w:tcPr>
            <w:tcW w:w="1001" w:type="dxa"/>
            <w:tcBorders>
              <w:top w:val="single" w:sz="8" w:space="0" w:color="000000"/>
              <w:left w:val="single" w:sz="8" w:space="0" w:color="000000"/>
              <w:bottom w:val="single" w:sz="8" w:space="0" w:color="000000"/>
              <w:right w:val="single" w:sz="8" w:space="0" w:color="000000"/>
            </w:tcBorders>
            <w:vAlign w:val="center"/>
          </w:tcPr>
          <w:p w14:paraId="2E96C4B6" w14:textId="77777777" w:rsidR="00963AB6" w:rsidRPr="0033055B" w:rsidRDefault="00963AB6" w:rsidP="003E6550">
            <w:pPr>
              <w:jc w:val="center"/>
              <w:rPr>
                <w:rFonts w:cstheme="minorHAnsi"/>
                <w:lang w:val="en-GB"/>
              </w:rPr>
            </w:pPr>
          </w:p>
        </w:tc>
        <w:tc>
          <w:tcPr>
            <w:tcW w:w="1002" w:type="dxa"/>
            <w:tcBorders>
              <w:top w:val="single" w:sz="8" w:space="0" w:color="000000"/>
              <w:left w:val="single" w:sz="8" w:space="0" w:color="000000"/>
              <w:bottom w:val="single" w:sz="8" w:space="0" w:color="000000"/>
              <w:right w:val="single" w:sz="8" w:space="0" w:color="000000"/>
            </w:tcBorders>
            <w:vAlign w:val="center"/>
          </w:tcPr>
          <w:p w14:paraId="6905523B" w14:textId="77777777" w:rsidR="00963AB6" w:rsidRPr="0033055B" w:rsidRDefault="00963AB6" w:rsidP="003E6550">
            <w:pPr>
              <w:jc w:val="center"/>
              <w:rPr>
                <w:rFonts w:cstheme="minorHAnsi"/>
                <w:lang w:val="en-GB"/>
              </w:rPr>
            </w:pPr>
          </w:p>
        </w:tc>
        <w:tc>
          <w:tcPr>
            <w:tcW w:w="1001" w:type="dxa"/>
            <w:tcBorders>
              <w:top w:val="single" w:sz="8" w:space="0" w:color="000000"/>
              <w:left w:val="single" w:sz="8" w:space="0" w:color="000000"/>
              <w:bottom w:val="single" w:sz="8" w:space="0" w:color="000000"/>
              <w:right w:val="single" w:sz="8" w:space="0" w:color="000000"/>
            </w:tcBorders>
            <w:vAlign w:val="center"/>
          </w:tcPr>
          <w:p w14:paraId="0C3092A7" w14:textId="77777777" w:rsidR="00963AB6" w:rsidRPr="0033055B" w:rsidRDefault="00963AB6" w:rsidP="003E6550">
            <w:pPr>
              <w:jc w:val="center"/>
              <w:rPr>
                <w:rFonts w:cstheme="minorHAnsi"/>
                <w:lang w:val="en-GB"/>
              </w:rPr>
            </w:pPr>
          </w:p>
        </w:tc>
        <w:tc>
          <w:tcPr>
            <w:tcW w:w="1003" w:type="dxa"/>
            <w:tcBorders>
              <w:top w:val="single" w:sz="8" w:space="0" w:color="000000"/>
              <w:left w:val="single" w:sz="8" w:space="0" w:color="000000"/>
              <w:bottom w:val="single" w:sz="8" w:space="0" w:color="000000"/>
              <w:right w:val="single" w:sz="8" w:space="0" w:color="000000"/>
            </w:tcBorders>
            <w:vAlign w:val="center"/>
          </w:tcPr>
          <w:p w14:paraId="3E76D5C1" w14:textId="77777777" w:rsidR="00963AB6" w:rsidRPr="0033055B" w:rsidRDefault="00963AB6" w:rsidP="003E6550">
            <w:pPr>
              <w:jc w:val="center"/>
              <w:rPr>
                <w:rFonts w:cstheme="minorHAnsi"/>
                <w:lang w:val="en-GB"/>
              </w:rPr>
            </w:pPr>
          </w:p>
        </w:tc>
        <w:tc>
          <w:tcPr>
            <w:tcW w:w="1001" w:type="dxa"/>
            <w:tcBorders>
              <w:top w:val="single" w:sz="8" w:space="0" w:color="000000"/>
              <w:left w:val="single" w:sz="8" w:space="0" w:color="000000"/>
              <w:bottom w:val="single" w:sz="8" w:space="0" w:color="000000"/>
              <w:right w:val="single" w:sz="8" w:space="0" w:color="000000"/>
            </w:tcBorders>
            <w:vAlign w:val="center"/>
          </w:tcPr>
          <w:p w14:paraId="6FF312B8" w14:textId="77777777" w:rsidR="00963AB6" w:rsidRPr="0033055B" w:rsidRDefault="00963AB6" w:rsidP="003E6550">
            <w:pPr>
              <w:jc w:val="center"/>
              <w:rPr>
                <w:rFonts w:cstheme="minorHAnsi"/>
                <w:lang w:val="en-GB"/>
              </w:rPr>
            </w:pPr>
          </w:p>
        </w:tc>
        <w:tc>
          <w:tcPr>
            <w:tcW w:w="1002" w:type="dxa"/>
            <w:tcBorders>
              <w:top w:val="single" w:sz="8" w:space="0" w:color="000000"/>
              <w:left w:val="single" w:sz="8" w:space="0" w:color="000000"/>
              <w:bottom w:val="single" w:sz="8" w:space="0" w:color="000000"/>
              <w:right w:val="single" w:sz="8" w:space="0" w:color="000000"/>
            </w:tcBorders>
            <w:vAlign w:val="center"/>
          </w:tcPr>
          <w:p w14:paraId="5B22133B" w14:textId="77777777" w:rsidR="00963AB6" w:rsidRPr="0033055B" w:rsidRDefault="00963AB6" w:rsidP="003E6550">
            <w:pPr>
              <w:jc w:val="center"/>
              <w:rPr>
                <w:rFonts w:cstheme="minorHAnsi"/>
                <w:lang w:val="en-GB"/>
              </w:rPr>
            </w:pPr>
          </w:p>
        </w:tc>
        <w:tc>
          <w:tcPr>
            <w:tcW w:w="1001" w:type="dxa"/>
            <w:tcBorders>
              <w:top w:val="single" w:sz="8" w:space="0" w:color="000000"/>
              <w:left w:val="single" w:sz="8" w:space="0" w:color="000000"/>
              <w:bottom w:val="single" w:sz="8" w:space="0" w:color="000000"/>
              <w:right w:val="single" w:sz="8" w:space="0" w:color="000000"/>
            </w:tcBorders>
            <w:vAlign w:val="center"/>
          </w:tcPr>
          <w:p w14:paraId="454897F9" w14:textId="77777777" w:rsidR="00963AB6" w:rsidRPr="0033055B" w:rsidRDefault="00963AB6" w:rsidP="003E6550">
            <w:pPr>
              <w:jc w:val="center"/>
              <w:rPr>
                <w:rFonts w:cstheme="minorHAnsi"/>
                <w:lang w:val="en-GB"/>
              </w:rPr>
            </w:pPr>
          </w:p>
        </w:tc>
        <w:tc>
          <w:tcPr>
            <w:tcW w:w="1002" w:type="dxa"/>
            <w:tcBorders>
              <w:top w:val="single" w:sz="8" w:space="0" w:color="000000"/>
              <w:left w:val="single" w:sz="8" w:space="0" w:color="000000"/>
              <w:bottom w:val="single" w:sz="8" w:space="0" w:color="000000"/>
              <w:right w:val="single" w:sz="8" w:space="0" w:color="000000"/>
            </w:tcBorders>
            <w:vAlign w:val="center"/>
          </w:tcPr>
          <w:p w14:paraId="0CFB079F" w14:textId="77777777" w:rsidR="00963AB6" w:rsidRPr="0033055B" w:rsidRDefault="00963AB6" w:rsidP="003E6550">
            <w:pPr>
              <w:jc w:val="center"/>
              <w:rPr>
                <w:rFonts w:cstheme="minorHAnsi"/>
                <w:lang w:val="en-GB"/>
              </w:rPr>
            </w:pPr>
          </w:p>
        </w:tc>
      </w:tr>
      <w:tr w:rsidR="00963AB6" w:rsidRPr="0033055B" w14:paraId="4C51B553" w14:textId="77777777" w:rsidTr="003E6550">
        <w:trPr>
          <w:gridAfter w:val="1"/>
          <w:wAfter w:w="6" w:type="dxa"/>
          <w:trHeight w:val="474"/>
          <w:jc w:val="center"/>
        </w:trPr>
        <w:tc>
          <w:tcPr>
            <w:tcW w:w="2114" w:type="dxa"/>
            <w:tcBorders>
              <w:top w:val="single" w:sz="8" w:space="0" w:color="000000"/>
              <w:left w:val="single" w:sz="8" w:space="0" w:color="000000"/>
              <w:bottom w:val="single" w:sz="8" w:space="0" w:color="000000"/>
              <w:right w:val="single" w:sz="8" w:space="0" w:color="000000"/>
            </w:tcBorders>
            <w:vAlign w:val="center"/>
          </w:tcPr>
          <w:p w14:paraId="240FA429" w14:textId="77777777" w:rsidR="00963AB6" w:rsidRPr="0033055B" w:rsidRDefault="00963AB6" w:rsidP="003E6550">
            <w:pPr>
              <w:ind w:left="140"/>
              <w:jc w:val="center"/>
              <w:rPr>
                <w:rFonts w:cstheme="minorHAnsi"/>
              </w:rPr>
            </w:pPr>
            <w:r>
              <w:rPr>
                <w:i/>
              </w:rPr>
              <w:t>fotovoltaik</w:t>
            </w:r>
          </w:p>
        </w:tc>
        <w:tc>
          <w:tcPr>
            <w:tcW w:w="1000" w:type="dxa"/>
            <w:tcBorders>
              <w:top w:val="single" w:sz="8" w:space="0" w:color="000000"/>
              <w:left w:val="single" w:sz="8" w:space="0" w:color="000000"/>
              <w:bottom w:val="single" w:sz="4" w:space="0" w:color="000000"/>
              <w:right w:val="single" w:sz="8" w:space="0" w:color="000000"/>
            </w:tcBorders>
            <w:vAlign w:val="center"/>
          </w:tcPr>
          <w:p w14:paraId="07196C60" w14:textId="77777777" w:rsidR="00963AB6" w:rsidRPr="0033055B" w:rsidRDefault="00963AB6" w:rsidP="003E6550">
            <w:pPr>
              <w:jc w:val="center"/>
              <w:rPr>
                <w:rFonts w:cstheme="minorHAnsi"/>
                <w:lang w:val="en-GB"/>
              </w:rPr>
            </w:pPr>
          </w:p>
        </w:tc>
        <w:tc>
          <w:tcPr>
            <w:tcW w:w="1001" w:type="dxa"/>
            <w:tcBorders>
              <w:top w:val="single" w:sz="8" w:space="0" w:color="000000"/>
              <w:left w:val="single" w:sz="8" w:space="0" w:color="000000"/>
              <w:bottom w:val="single" w:sz="4" w:space="0" w:color="000000"/>
              <w:right w:val="single" w:sz="8" w:space="0" w:color="000000"/>
            </w:tcBorders>
            <w:vAlign w:val="center"/>
          </w:tcPr>
          <w:p w14:paraId="755F4A2E" w14:textId="77777777" w:rsidR="00963AB6" w:rsidRPr="0033055B" w:rsidRDefault="00963AB6" w:rsidP="003E6550">
            <w:pPr>
              <w:jc w:val="center"/>
              <w:rPr>
                <w:rFonts w:cstheme="minorHAnsi"/>
                <w:lang w:val="en-GB"/>
              </w:rPr>
            </w:pPr>
          </w:p>
        </w:tc>
        <w:tc>
          <w:tcPr>
            <w:tcW w:w="1000" w:type="dxa"/>
            <w:tcBorders>
              <w:top w:val="single" w:sz="8" w:space="0" w:color="000000"/>
              <w:left w:val="single" w:sz="8" w:space="0" w:color="000000"/>
              <w:bottom w:val="single" w:sz="4" w:space="0" w:color="000000"/>
              <w:right w:val="single" w:sz="8" w:space="0" w:color="000000"/>
            </w:tcBorders>
            <w:vAlign w:val="center"/>
          </w:tcPr>
          <w:p w14:paraId="63ADC676" w14:textId="77777777" w:rsidR="00963AB6" w:rsidRPr="0033055B" w:rsidRDefault="00963AB6" w:rsidP="003E6550">
            <w:pPr>
              <w:jc w:val="center"/>
              <w:rPr>
                <w:rFonts w:cstheme="minorHAnsi"/>
                <w:lang w:val="en-GB"/>
              </w:rPr>
            </w:pPr>
          </w:p>
        </w:tc>
        <w:tc>
          <w:tcPr>
            <w:tcW w:w="1003" w:type="dxa"/>
            <w:tcBorders>
              <w:top w:val="single" w:sz="8" w:space="0" w:color="000000"/>
              <w:left w:val="single" w:sz="8" w:space="0" w:color="000000"/>
              <w:bottom w:val="single" w:sz="4" w:space="0" w:color="000000"/>
              <w:right w:val="single" w:sz="8" w:space="0" w:color="000000"/>
            </w:tcBorders>
            <w:vAlign w:val="center"/>
          </w:tcPr>
          <w:p w14:paraId="1CA39188" w14:textId="77777777" w:rsidR="00963AB6" w:rsidRPr="0033055B" w:rsidRDefault="00963AB6" w:rsidP="003E6550">
            <w:pPr>
              <w:jc w:val="center"/>
              <w:rPr>
                <w:rFonts w:cstheme="minorHAnsi"/>
                <w:lang w:val="en-GB"/>
              </w:rPr>
            </w:pPr>
          </w:p>
        </w:tc>
        <w:tc>
          <w:tcPr>
            <w:tcW w:w="1001" w:type="dxa"/>
            <w:tcBorders>
              <w:top w:val="single" w:sz="8" w:space="0" w:color="000000"/>
              <w:left w:val="single" w:sz="8" w:space="0" w:color="000000"/>
              <w:bottom w:val="single" w:sz="4" w:space="0" w:color="000000"/>
              <w:right w:val="single" w:sz="8" w:space="0" w:color="000000"/>
            </w:tcBorders>
            <w:vAlign w:val="center"/>
          </w:tcPr>
          <w:p w14:paraId="4A12E120" w14:textId="77777777" w:rsidR="00963AB6" w:rsidRPr="0033055B" w:rsidRDefault="00963AB6" w:rsidP="003E6550">
            <w:pPr>
              <w:jc w:val="center"/>
              <w:rPr>
                <w:rFonts w:cstheme="minorHAnsi"/>
                <w:lang w:val="en-GB"/>
              </w:rPr>
            </w:pPr>
          </w:p>
        </w:tc>
        <w:tc>
          <w:tcPr>
            <w:tcW w:w="1002" w:type="dxa"/>
            <w:tcBorders>
              <w:top w:val="single" w:sz="8" w:space="0" w:color="000000"/>
              <w:left w:val="single" w:sz="8" w:space="0" w:color="000000"/>
              <w:bottom w:val="single" w:sz="4" w:space="0" w:color="000000"/>
              <w:right w:val="single" w:sz="8" w:space="0" w:color="000000"/>
            </w:tcBorders>
            <w:vAlign w:val="center"/>
          </w:tcPr>
          <w:p w14:paraId="515376D8" w14:textId="77777777" w:rsidR="00963AB6" w:rsidRPr="0033055B" w:rsidRDefault="00963AB6" w:rsidP="003E6550">
            <w:pPr>
              <w:jc w:val="center"/>
              <w:rPr>
                <w:rFonts w:cstheme="minorHAnsi"/>
                <w:lang w:val="en-GB"/>
              </w:rPr>
            </w:pPr>
          </w:p>
        </w:tc>
        <w:tc>
          <w:tcPr>
            <w:tcW w:w="1001" w:type="dxa"/>
            <w:tcBorders>
              <w:top w:val="single" w:sz="8" w:space="0" w:color="000000"/>
              <w:left w:val="single" w:sz="8" w:space="0" w:color="000000"/>
              <w:bottom w:val="single" w:sz="4" w:space="0" w:color="000000"/>
              <w:right w:val="single" w:sz="8" w:space="0" w:color="000000"/>
            </w:tcBorders>
            <w:vAlign w:val="center"/>
          </w:tcPr>
          <w:p w14:paraId="0A031DBB" w14:textId="77777777" w:rsidR="00963AB6" w:rsidRPr="0033055B" w:rsidRDefault="00963AB6" w:rsidP="003E6550">
            <w:pPr>
              <w:jc w:val="center"/>
              <w:rPr>
                <w:rFonts w:cstheme="minorHAnsi"/>
                <w:lang w:val="en-GB"/>
              </w:rPr>
            </w:pPr>
          </w:p>
        </w:tc>
        <w:tc>
          <w:tcPr>
            <w:tcW w:w="1003" w:type="dxa"/>
            <w:tcBorders>
              <w:top w:val="single" w:sz="8" w:space="0" w:color="000000"/>
              <w:left w:val="single" w:sz="8" w:space="0" w:color="000000"/>
              <w:bottom w:val="single" w:sz="4" w:space="0" w:color="000000"/>
              <w:right w:val="single" w:sz="8" w:space="0" w:color="000000"/>
            </w:tcBorders>
            <w:vAlign w:val="center"/>
          </w:tcPr>
          <w:p w14:paraId="34983992" w14:textId="77777777" w:rsidR="00963AB6" w:rsidRPr="0033055B" w:rsidRDefault="00963AB6" w:rsidP="003E6550">
            <w:pPr>
              <w:jc w:val="center"/>
              <w:rPr>
                <w:rFonts w:cstheme="minorHAnsi"/>
                <w:lang w:val="en-GB"/>
              </w:rPr>
            </w:pPr>
          </w:p>
        </w:tc>
        <w:tc>
          <w:tcPr>
            <w:tcW w:w="1001" w:type="dxa"/>
            <w:tcBorders>
              <w:top w:val="single" w:sz="8" w:space="0" w:color="000000"/>
              <w:left w:val="single" w:sz="8" w:space="0" w:color="000000"/>
              <w:bottom w:val="single" w:sz="4" w:space="0" w:color="000000"/>
              <w:right w:val="single" w:sz="8" w:space="0" w:color="000000"/>
            </w:tcBorders>
            <w:vAlign w:val="center"/>
          </w:tcPr>
          <w:p w14:paraId="4EE55714" w14:textId="77777777" w:rsidR="00963AB6" w:rsidRPr="0033055B" w:rsidRDefault="00963AB6" w:rsidP="003E6550">
            <w:pPr>
              <w:jc w:val="center"/>
              <w:rPr>
                <w:rFonts w:cstheme="minorHAnsi"/>
                <w:lang w:val="en-GB"/>
              </w:rPr>
            </w:pPr>
          </w:p>
        </w:tc>
        <w:tc>
          <w:tcPr>
            <w:tcW w:w="1002" w:type="dxa"/>
            <w:tcBorders>
              <w:top w:val="single" w:sz="8" w:space="0" w:color="000000"/>
              <w:left w:val="single" w:sz="8" w:space="0" w:color="000000"/>
              <w:bottom w:val="single" w:sz="4" w:space="0" w:color="000000"/>
              <w:right w:val="single" w:sz="8" w:space="0" w:color="000000"/>
            </w:tcBorders>
            <w:vAlign w:val="center"/>
          </w:tcPr>
          <w:p w14:paraId="4F4A6737" w14:textId="77777777" w:rsidR="00963AB6" w:rsidRPr="0033055B" w:rsidRDefault="00963AB6" w:rsidP="003E6550">
            <w:pPr>
              <w:jc w:val="center"/>
              <w:rPr>
                <w:rFonts w:cstheme="minorHAnsi"/>
                <w:lang w:val="en-GB"/>
              </w:rPr>
            </w:pPr>
          </w:p>
        </w:tc>
        <w:tc>
          <w:tcPr>
            <w:tcW w:w="1001" w:type="dxa"/>
            <w:tcBorders>
              <w:top w:val="single" w:sz="8" w:space="0" w:color="000000"/>
              <w:left w:val="single" w:sz="8" w:space="0" w:color="000000"/>
              <w:bottom w:val="single" w:sz="4" w:space="0" w:color="000000"/>
              <w:right w:val="single" w:sz="8" w:space="0" w:color="000000"/>
            </w:tcBorders>
            <w:vAlign w:val="center"/>
          </w:tcPr>
          <w:p w14:paraId="746697B9" w14:textId="77777777" w:rsidR="00963AB6" w:rsidRPr="0033055B" w:rsidRDefault="00963AB6" w:rsidP="003E6550">
            <w:pPr>
              <w:jc w:val="center"/>
              <w:rPr>
                <w:rFonts w:cstheme="minorHAnsi"/>
                <w:lang w:val="en-GB"/>
              </w:rPr>
            </w:pPr>
          </w:p>
        </w:tc>
        <w:tc>
          <w:tcPr>
            <w:tcW w:w="1002" w:type="dxa"/>
            <w:tcBorders>
              <w:top w:val="single" w:sz="8" w:space="0" w:color="000000"/>
              <w:left w:val="single" w:sz="8" w:space="0" w:color="000000"/>
              <w:bottom w:val="single" w:sz="4" w:space="0" w:color="000000"/>
              <w:right w:val="single" w:sz="8" w:space="0" w:color="000000"/>
            </w:tcBorders>
            <w:vAlign w:val="center"/>
          </w:tcPr>
          <w:p w14:paraId="1ED77FE2" w14:textId="77777777" w:rsidR="00963AB6" w:rsidRPr="0033055B" w:rsidRDefault="00963AB6" w:rsidP="003E6550">
            <w:pPr>
              <w:jc w:val="center"/>
              <w:rPr>
                <w:rFonts w:cstheme="minorHAnsi"/>
                <w:lang w:val="en-GB"/>
              </w:rPr>
            </w:pPr>
          </w:p>
        </w:tc>
      </w:tr>
      <w:tr w:rsidR="00963AB6" w:rsidRPr="0033055B" w14:paraId="49D7356E" w14:textId="77777777" w:rsidTr="003E6550">
        <w:trPr>
          <w:gridAfter w:val="1"/>
          <w:wAfter w:w="6" w:type="dxa"/>
          <w:trHeight w:val="248"/>
          <w:jc w:val="center"/>
        </w:trPr>
        <w:tc>
          <w:tcPr>
            <w:tcW w:w="2114" w:type="dxa"/>
            <w:tcBorders>
              <w:top w:val="single" w:sz="8" w:space="0" w:color="000000"/>
              <w:left w:val="single" w:sz="8" w:space="0" w:color="000000"/>
              <w:bottom w:val="single" w:sz="8" w:space="0" w:color="000000"/>
              <w:right w:val="single" w:sz="8" w:space="0" w:color="000000"/>
            </w:tcBorders>
          </w:tcPr>
          <w:p w14:paraId="75A62224" w14:textId="77777777" w:rsidR="00963AB6" w:rsidRPr="0033055B" w:rsidRDefault="00963AB6" w:rsidP="003E6550">
            <w:pPr>
              <w:jc w:val="center"/>
              <w:rPr>
                <w:rFonts w:cstheme="minorHAnsi"/>
              </w:rPr>
            </w:pPr>
            <w:r>
              <w:rPr>
                <w:i/>
              </w:rPr>
              <w:t>Energji e koncentruar solare</w:t>
            </w:r>
          </w:p>
        </w:tc>
        <w:tc>
          <w:tcPr>
            <w:tcW w:w="1000" w:type="dxa"/>
            <w:tcBorders>
              <w:top w:val="single" w:sz="4" w:space="0" w:color="000000"/>
              <w:left w:val="single" w:sz="8" w:space="0" w:color="000000"/>
              <w:bottom w:val="single" w:sz="8" w:space="0" w:color="000000"/>
              <w:right w:val="single" w:sz="8" w:space="0" w:color="000000"/>
            </w:tcBorders>
            <w:vAlign w:val="center"/>
          </w:tcPr>
          <w:p w14:paraId="0178BBFD" w14:textId="77777777" w:rsidR="00963AB6" w:rsidRPr="0033055B" w:rsidRDefault="00963AB6" w:rsidP="003E6550">
            <w:pPr>
              <w:jc w:val="center"/>
              <w:rPr>
                <w:rFonts w:cstheme="minorHAnsi"/>
                <w:lang w:val="en-GB"/>
              </w:rPr>
            </w:pPr>
          </w:p>
        </w:tc>
        <w:tc>
          <w:tcPr>
            <w:tcW w:w="1001" w:type="dxa"/>
            <w:tcBorders>
              <w:top w:val="single" w:sz="4" w:space="0" w:color="000000"/>
              <w:left w:val="single" w:sz="8" w:space="0" w:color="000000"/>
              <w:bottom w:val="single" w:sz="8" w:space="0" w:color="000000"/>
              <w:right w:val="single" w:sz="8" w:space="0" w:color="000000"/>
            </w:tcBorders>
            <w:vAlign w:val="center"/>
          </w:tcPr>
          <w:p w14:paraId="0FD08499" w14:textId="77777777" w:rsidR="00963AB6" w:rsidRPr="0033055B" w:rsidRDefault="00963AB6" w:rsidP="003E6550">
            <w:pPr>
              <w:jc w:val="center"/>
              <w:rPr>
                <w:rFonts w:cstheme="minorHAnsi"/>
                <w:lang w:val="en-GB"/>
              </w:rPr>
            </w:pPr>
          </w:p>
        </w:tc>
        <w:tc>
          <w:tcPr>
            <w:tcW w:w="1000" w:type="dxa"/>
            <w:tcBorders>
              <w:top w:val="single" w:sz="4" w:space="0" w:color="000000"/>
              <w:left w:val="single" w:sz="8" w:space="0" w:color="000000"/>
              <w:bottom w:val="single" w:sz="8" w:space="0" w:color="000000"/>
              <w:right w:val="single" w:sz="8" w:space="0" w:color="000000"/>
            </w:tcBorders>
            <w:vAlign w:val="center"/>
          </w:tcPr>
          <w:p w14:paraId="4D7B9116" w14:textId="77777777" w:rsidR="00963AB6" w:rsidRPr="0033055B" w:rsidRDefault="00963AB6" w:rsidP="003E6550">
            <w:pPr>
              <w:jc w:val="center"/>
              <w:rPr>
                <w:rFonts w:cstheme="minorHAnsi"/>
                <w:lang w:val="en-GB"/>
              </w:rPr>
            </w:pPr>
          </w:p>
        </w:tc>
        <w:tc>
          <w:tcPr>
            <w:tcW w:w="1003" w:type="dxa"/>
            <w:tcBorders>
              <w:top w:val="single" w:sz="4" w:space="0" w:color="000000"/>
              <w:left w:val="single" w:sz="8" w:space="0" w:color="000000"/>
              <w:bottom w:val="single" w:sz="8" w:space="0" w:color="000000"/>
              <w:right w:val="single" w:sz="8" w:space="0" w:color="000000"/>
            </w:tcBorders>
            <w:vAlign w:val="center"/>
          </w:tcPr>
          <w:p w14:paraId="1879E47B" w14:textId="77777777" w:rsidR="00963AB6" w:rsidRPr="0033055B" w:rsidRDefault="00963AB6" w:rsidP="003E6550">
            <w:pPr>
              <w:jc w:val="center"/>
              <w:rPr>
                <w:rFonts w:cstheme="minorHAnsi"/>
                <w:lang w:val="en-GB"/>
              </w:rPr>
            </w:pPr>
          </w:p>
        </w:tc>
        <w:tc>
          <w:tcPr>
            <w:tcW w:w="1001" w:type="dxa"/>
            <w:tcBorders>
              <w:top w:val="single" w:sz="4" w:space="0" w:color="000000"/>
              <w:left w:val="single" w:sz="8" w:space="0" w:color="000000"/>
              <w:bottom w:val="single" w:sz="8" w:space="0" w:color="000000"/>
              <w:right w:val="single" w:sz="8" w:space="0" w:color="000000"/>
            </w:tcBorders>
            <w:vAlign w:val="center"/>
          </w:tcPr>
          <w:p w14:paraId="173EF8A3" w14:textId="77777777" w:rsidR="00963AB6" w:rsidRPr="0033055B" w:rsidRDefault="00963AB6" w:rsidP="003E6550">
            <w:pPr>
              <w:jc w:val="center"/>
              <w:rPr>
                <w:rFonts w:cstheme="minorHAnsi"/>
                <w:lang w:val="en-GB"/>
              </w:rPr>
            </w:pPr>
          </w:p>
        </w:tc>
        <w:tc>
          <w:tcPr>
            <w:tcW w:w="1002" w:type="dxa"/>
            <w:tcBorders>
              <w:top w:val="single" w:sz="4" w:space="0" w:color="000000"/>
              <w:left w:val="single" w:sz="8" w:space="0" w:color="000000"/>
              <w:bottom w:val="single" w:sz="8" w:space="0" w:color="000000"/>
              <w:right w:val="single" w:sz="8" w:space="0" w:color="000000"/>
            </w:tcBorders>
            <w:vAlign w:val="center"/>
          </w:tcPr>
          <w:p w14:paraId="65D5304C" w14:textId="77777777" w:rsidR="00963AB6" w:rsidRPr="0033055B" w:rsidRDefault="00963AB6" w:rsidP="003E6550">
            <w:pPr>
              <w:jc w:val="center"/>
              <w:rPr>
                <w:rFonts w:cstheme="minorHAnsi"/>
                <w:lang w:val="en-GB"/>
              </w:rPr>
            </w:pPr>
          </w:p>
        </w:tc>
        <w:tc>
          <w:tcPr>
            <w:tcW w:w="1001" w:type="dxa"/>
            <w:tcBorders>
              <w:top w:val="single" w:sz="4" w:space="0" w:color="000000"/>
              <w:left w:val="single" w:sz="8" w:space="0" w:color="000000"/>
              <w:bottom w:val="single" w:sz="8" w:space="0" w:color="000000"/>
              <w:right w:val="single" w:sz="8" w:space="0" w:color="000000"/>
            </w:tcBorders>
            <w:vAlign w:val="center"/>
          </w:tcPr>
          <w:p w14:paraId="3EAABE75" w14:textId="77777777" w:rsidR="00963AB6" w:rsidRPr="0033055B" w:rsidRDefault="00963AB6" w:rsidP="003E6550">
            <w:pPr>
              <w:jc w:val="center"/>
              <w:rPr>
                <w:rFonts w:cstheme="minorHAnsi"/>
                <w:lang w:val="en-GB"/>
              </w:rPr>
            </w:pPr>
          </w:p>
        </w:tc>
        <w:tc>
          <w:tcPr>
            <w:tcW w:w="1003" w:type="dxa"/>
            <w:tcBorders>
              <w:top w:val="single" w:sz="4" w:space="0" w:color="000000"/>
              <w:left w:val="single" w:sz="8" w:space="0" w:color="000000"/>
              <w:bottom w:val="single" w:sz="8" w:space="0" w:color="000000"/>
              <w:right w:val="single" w:sz="8" w:space="0" w:color="000000"/>
            </w:tcBorders>
            <w:vAlign w:val="center"/>
          </w:tcPr>
          <w:p w14:paraId="37596918" w14:textId="77777777" w:rsidR="00963AB6" w:rsidRPr="0033055B" w:rsidRDefault="00963AB6" w:rsidP="003E6550">
            <w:pPr>
              <w:jc w:val="center"/>
              <w:rPr>
                <w:rFonts w:cstheme="minorHAnsi"/>
                <w:lang w:val="en-GB"/>
              </w:rPr>
            </w:pPr>
          </w:p>
        </w:tc>
        <w:tc>
          <w:tcPr>
            <w:tcW w:w="1001" w:type="dxa"/>
            <w:tcBorders>
              <w:top w:val="single" w:sz="4" w:space="0" w:color="000000"/>
              <w:left w:val="single" w:sz="8" w:space="0" w:color="000000"/>
              <w:bottom w:val="single" w:sz="8" w:space="0" w:color="000000"/>
              <w:right w:val="single" w:sz="8" w:space="0" w:color="000000"/>
            </w:tcBorders>
            <w:vAlign w:val="center"/>
          </w:tcPr>
          <w:p w14:paraId="7C218858" w14:textId="77777777" w:rsidR="00963AB6" w:rsidRPr="0033055B" w:rsidRDefault="00963AB6" w:rsidP="003E6550">
            <w:pPr>
              <w:jc w:val="center"/>
              <w:rPr>
                <w:rFonts w:cstheme="minorHAnsi"/>
                <w:lang w:val="en-GB"/>
              </w:rPr>
            </w:pPr>
          </w:p>
        </w:tc>
        <w:tc>
          <w:tcPr>
            <w:tcW w:w="1002" w:type="dxa"/>
            <w:tcBorders>
              <w:top w:val="single" w:sz="4" w:space="0" w:color="000000"/>
              <w:left w:val="single" w:sz="8" w:space="0" w:color="000000"/>
              <w:bottom w:val="single" w:sz="8" w:space="0" w:color="000000"/>
              <w:right w:val="single" w:sz="8" w:space="0" w:color="000000"/>
            </w:tcBorders>
            <w:vAlign w:val="center"/>
          </w:tcPr>
          <w:p w14:paraId="2D7894E0" w14:textId="77777777" w:rsidR="00963AB6" w:rsidRPr="0033055B" w:rsidRDefault="00963AB6" w:rsidP="003E6550">
            <w:pPr>
              <w:jc w:val="center"/>
              <w:rPr>
                <w:rFonts w:cstheme="minorHAnsi"/>
                <w:lang w:val="en-GB"/>
              </w:rPr>
            </w:pPr>
          </w:p>
        </w:tc>
        <w:tc>
          <w:tcPr>
            <w:tcW w:w="1001" w:type="dxa"/>
            <w:tcBorders>
              <w:top w:val="single" w:sz="4" w:space="0" w:color="000000"/>
              <w:left w:val="single" w:sz="8" w:space="0" w:color="000000"/>
              <w:bottom w:val="single" w:sz="8" w:space="0" w:color="000000"/>
              <w:right w:val="single" w:sz="8" w:space="0" w:color="000000"/>
            </w:tcBorders>
            <w:vAlign w:val="center"/>
          </w:tcPr>
          <w:p w14:paraId="05F4276D" w14:textId="77777777" w:rsidR="00963AB6" w:rsidRPr="0033055B" w:rsidRDefault="00963AB6" w:rsidP="003E6550">
            <w:pPr>
              <w:jc w:val="center"/>
              <w:rPr>
                <w:rFonts w:cstheme="minorHAnsi"/>
                <w:lang w:val="en-GB"/>
              </w:rPr>
            </w:pPr>
          </w:p>
        </w:tc>
        <w:tc>
          <w:tcPr>
            <w:tcW w:w="1002" w:type="dxa"/>
            <w:tcBorders>
              <w:top w:val="single" w:sz="4" w:space="0" w:color="000000"/>
              <w:left w:val="single" w:sz="8" w:space="0" w:color="000000"/>
              <w:bottom w:val="single" w:sz="8" w:space="0" w:color="000000"/>
              <w:right w:val="single" w:sz="8" w:space="0" w:color="000000"/>
            </w:tcBorders>
            <w:vAlign w:val="center"/>
          </w:tcPr>
          <w:p w14:paraId="0299301B" w14:textId="77777777" w:rsidR="00963AB6" w:rsidRPr="0033055B" w:rsidRDefault="00963AB6" w:rsidP="003E6550">
            <w:pPr>
              <w:jc w:val="center"/>
              <w:rPr>
                <w:rFonts w:cstheme="minorHAnsi"/>
                <w:lang w:val="en-GB"/>
              </w:rPr>
            </w:pPr>
          </w:p>
        </w:tc>
      </w:tr>
      <w:tr w:rsidR="00963AB6" w:rsidRPr="0033055B" w14:paraId="16BA706F" w14:textId="77777777" w:rsidTr="003E6550">
        <w:trPr>
          <w:gridAfter w:val="1"/>
          <w:wAfter w:w="6" w:type="dxa"/>
          <w:trHeight w:val="247"/>
          <w:jc w:val="center"/>
        </w:trPr>
        <w:tc>
          <w:tcPr>
            <w:tcW w:w="2114" w:type="dxa"/>
            <w:tcBorders>
              <w:top w:val="single" w:sz="8" w:space="0" w:color="000000"/>
              <w:left w:val="single" w:sz="8" w:space="0" w:color="000000"/>
              <w:bottom w:val="single" w:sz="8" w:space="0" w:color="000000"/>
              <w:right w:val="single" w:sz="8" w:space="0" w:color="000000"/>
            </w:tcBorders>
          </w:tcPr>
          <w:p w14:paraId="60298A96" w14:textId="77777777" w:rsidR="00963AB6" w:rsidRPr="0033055B" w:rsidRDefault="00963AB6" w:rsidP="003E6550">
            <w:pPr>
              <w:jc w:val="center"/>
              <w:rPr>
                <w:rFonts w:cstheme="minorHAnsi"/>
              </w:rPr>
            </w:pPr>
            <w:r>
              <w:t>Batica, vala, oqeani</w:t>
            </w:r>
          </w:p>
        </w:tc>
        <w:tc>
          <w:tcPr>
            <w:tcW w:w="1000" w:type="dxa"/>
            <w:tcBorders>
              <w:top w:val="single" w:sz="8" w:space="0" w:color="000000"/>
              <w:left w:val="single" w:sz="8" w:space="0" w:color="000000"/>
              <w:bottom w:val="single" w:sz="8" w:space="0" w:color="000000"/>
              <w:right w:val="single" w:sz="8" w:space="0" w:color="000000"/>
            </w:tcBorders>
            <w:vAlign w:val="center"/>
          </w:tcPr>
          <w:p w14:paraId="34B6943B" w14:textId="77777777" w:rsidR="00963AB6" w:rsidRPr="0033055B" w:rsidRDefault="00963AB6" w:rsidP="003E6550">
            <w:pPr>
              <w:jc w:val="center"/>
              <w:rPr>
                <w:rFonts w:cstheme="minorHAnsi"/>
                <w:lang w:val="en-GB"/>
              </w:rPr>
            </w:pPr>
          </w:p>
        </w:tc>
        <w:tc>
          <w:tcPr>
            <w:tcW w:w="1001" w:type="dxa"/>
            <w:tcBorders>
              <w:top w:val="single" w:sz="8" w:space="0" w:color="000000"/>
              <w:left w:val="single" w:sz="8" w:space="0" w:color="000000"/>
              <w:bottom w:val="single" w:sz="8" w:space="0" w:color="000000"/>
              <w:right w:val="single" w:sz="8" w:space="0" w:color="000000"/>
            </w:tcBorders>
            <w:vAlign w:val="center"/>
          </w:tcPr>
          <w:p w14:paraId="5B6158F3" w14:textId="77777777" w:rsidR="00963AB6" w:rsidRPr="0033055B" w:rsidRDefault="00963AB6" w:rsidP="003E6550">
            <w:pPr>
              <w:jc w:val="center"/>
              <w:rPr>
                <w:rFonts w:cstheme="minorHAnsi"/>
                <w:lang w:val="en-GB"/>
              </w:rPr>
            </w:pPr>
          </w:p>
        </w:tc>
        <w:tc>
          <w:tcPr>
            <w:tcW w:w="1000" w:type="dxa"/>
            <w:tcBorders>
              <w:top w:val="single" w:sz="8" w:space="0" w:color="000000"/>
              <w:left w:val="single" w:sz="8" w:space="0" w:color="000000"/>
              <w:bottom w:val="single" w:sz="8" w:space="0" w:color="000000"/>
              <w:right w:val="single" w:sz="8" w:space="0" w:color="000000"/>
            </w:tcBorders>
            <w:vAlign w:val="center"/>
          </w:tcPr>
          <w:p w14:paraId="409E40FD" w14:textId="77777777" w:rsidR="00963AB6" w:rsidRPr="0033055B" w:rsidRDefault="00963AB6" w:rsidP="003E6550">
            <w:pPr>
              <w:jc w:val="center"/>
              <w:rPr>
                <w:rFonts w:cstheme="minorHAnsi"/>
                <w:lang w:val="en-GB"/>
              </w:rPr>
            </w:pPr>
          </w:p>
        </w:tc>
        <w:tc>
          <w:tcPr>
            <w:tcW w:w="1003" w:type="dxa"/>
            <w:tcBorders>
              <w:top w:val="single" w:sz="8" w:space="0" w:color="000000"/>
              <w:left w:val="single" w:sz="8" w:space="0" w:color="000000"/>
              <w:bottom w:val="single" w:sz="8" w:space="0" w:color="000000"/>
              <w:right w:val="single" w:sz="8" w:space="0" w:color="000000"/>
            </w:tcBorders>
            <w:vAlign w:val="center"/>
          </w:tcPr>
          <w:p w14:paraId="122FF42B" w14:textId="77777777" w:rsidR="00963AB6" w:rsidRPr="0033055B" w:rsidRDefault="00963AB6" w:rsidP="003E6550">
            <w:pPr>
              <w:jc w:val="center"/>
              <w:rPr>
                <w:rFonts w:cstheme="minorHAnsi"/>
                <w:lang w:val="en-GB"/>
              </w:rPr>
            </w:pPr>
          </w:p>
        </w:tc>
        <w:tc>
          <w:tcPr>
            <w:tcW w:w="1001" w:type="dxa"/>
            <w:tcBorders>
              <w:top w:val="single" w:sz="8" w:space="0" w:color="000000"/>
              <w:left w:val="single" w:sz="8" w:space="0" w:color="000000"/>
              <w:bottom w:val="single" w:sz="8" w:space="0" w:color="000000"/>
              <w:right w:val="single" w:sz="8" w:space="0" w:color="000000"/>
            </w:tcBorders>
            <w:vAlign w:val="center"/>
          </w:tcPr>
          <w:p w14:paraId="54B6C952" w14:textId="77777777" w:rsidR="00963AB6" w:rsidRPr="0033055B" w:rsidRDefault="00963AB6" w:rsidP="003E6550">
            <w:pPr>
              <w:jc w:val="center"/>
              <w:rPr>
                <w:rFonts w:cstheme="minorHAnsi"/>
                <w:lang w:val="en-GB"/>
              </w:rPr>
            </w:pPr>
          </w:p>
        </w:tc>
        <w:tc>
          <w:tcPr>
            <w:tcW w:w="1002" w:type="dxa"/>
            <w:tcBorders>
              <w:top w:val="single" w:sz="8" w:space="0" w:color="000000"/>
              <w:left w:val="single" w:sz="8" w:space="0" w:color="000000"/>
              <w:bottom w:val="single" w:sz="8" w:space="0" w:color="000000"/>
              <w:right w:val="single" w:sz="8" w:space="0" w:color="000000"/>
            </w:tcBorders>
            <w:vAlign w:val="center"/>
          </w:tcPr>
          <w:p w14:paraId="0356355F" w14:textId="77777777" w:rsidR="00963AB6" w:rsidRPr="0033055B" w:rsidRDefault="00963AB6" w:rsidP="003E6550">
            <w:pPr>
              <w:jc w:val="center"/>
              <w:rPr>
                <w:rFonts w:cstheme="minorHAnsi"/>
                <w:lang w:val="en-GB"/>
              </w:rPr>
            </w:pPr>
          </w:p>
        </w:tc>
        <w:tc>
          <w:tcPr>
            <w:tcW w:w="1001" w:type="dxa"/>
            <w:tcBorders>
              <w:top w:val="single" w:sz="8" w:space="0" w:color="000000"/>
              <w:left w:val="single" w:sz="8" w:space="0" w:color="000000"/>
              <w:bottom w:val="single" w:sz="8" w:space="0" w:color="000000"/>
              <w:right w:val="single" w:sz="8" w:space="0" w:color="000000"/>
            </w:tcBorders>
            <w:vAlign w:val="center"/>
          </w:tcPr>
          <w:p w14:paraId="1D4A242D" w14:textId="77777777" w:rsidR="00963AB6" w:rsidRPr="0033055B" w:rsidRDefault="00963AB6" w:rsidP="003E6550">
            <w:pPr>
              <w:jc w:val="center"/>
              <w:rPr>
                <w:rFonts w:cstheme="minorHAnsi"/>
                <w:lang w:val="en-GB"/>
              </w:rPr>
            </w:pPr>
          </w:p>
        </w:tc>
        <w:tc>
          <w:tcPr>
            <w:tcW w:w="1003" w:type="dxa"/>
            <w:tcBorders>
              <w:top w:val="single" w:sz="8" w:space="0" w:color="000000"/>
              <w:left w:val="single" w:sz="8" w:space="0" w:color="000000"/>
              <w:bottom w:val="single" w:sz="8" w:space="0" w:color="000000"/>
              <w:right w:val="single" w:sz="8" w:space="0" w:color="000000"/>
            </w:tcBorders>
            <w:vAlign w:val="center"/>
          </w:tcPr>
          <w:p w14:paraId="405AA1B2" w14:textId="77777777" w:rsidR="00963AB6" w:rsidRPr="0033055B" w:rsidRDefault="00963AB6" w:rsidP="003E6550">
            <w:pPr>
              <w:jc w:val="center"/>
              <w:rPr>
                <w:rFonts w:cstheme="minorHAnsi"/>
                <w:lang w:val="en-GB"/>
              </w:rPr>
            </w:pPr>
          </w:p>
        </w:tc>
        <w:tc>
          <w:tcPr>
            <w:tcW w:w="1001" w:type="dxa"/>
            <w:tcBorders>
              <w:top w:val="single" w:sz="8" w:space="0" w:color="000000"/>
              <w:left w:val="single" w:sz="8" w:space="0" w:color="000000"/>
              <w:bottom w:val="single" w:sz="8" w:space="0" w:color="000000"/>
              <w:right w:val="single" w:sz="8" w:space="0" w:color="000000"/>
            </w:tcBorders>
            <w:vAlign w:val="center"/>
          </w:tcPr>
          <w:p w14:paraId="6FFA1136" w14:textId="77777777" w:rsidR="00963AB6" w:rsidRPr="0033055B" w:rsidRDefault="00963AB6" w:rsidP="003E6550">
            <w:pPr>
              <w:jc w:val="center"/>
              <w:rPr>
                <w:rFonts w:cstheme="minorHAnsi"/>
                <w:lang w:val="en-GB"/>
              </w:rPr>
            </w:pPr>
          </w:p>
        </w:tc>
        <w:tc>
          <w:tcPr>
            <w:tcW w:w="1002" w:type="dxa"/>
            <w:tcBorders>
              <w:top w:val="single" w:sz="8" w:space="0" w:color="000000"/>
              <w:left w:val="single" w:sz="8" w:space="0" w:color="000000"/>
              <w:bottom w:val="single" w:sz="8" w:space="0" w:color="000000"/>
              <w:right w:val="single" w:sz="8" w:space="0" w:color="000000"/>
            </w:tcBorders>
            <w:vAlign w:val="center"/>
          </w:tcPr>
          <w:p w14:paraId="677345DE" w14:textId="77777777" w:rsidR="00963AB6" w:rsidRPr="0033055B" w:rsidRDefault="00963AB6" w:rsidP="003E6550">
            <w:pPr>
              <w:jc w:val="center"/>
              <w:rPr>
                <w:rFonts w:cstheme="minorHAnsi"/>
                <w:lang w:val="en-GB"/>
              </w:rPr>
            </w:pPr>
          </w:p>
        </w:tc>
        <w:tc>
          <w:tcPr>
            <w:tcW w:w="1001" w:type="dxa"/>
            <w:tcBorders>
              <w:top w:val="single" w:sz="8" w:space="0" w:color="000000"/>
              <w:left w:val="single" w:sz="8" w:space="0" w:color="000000"/>
              <w:bottom w:val="single" w:sz="8" w:space="0" w:color="000000"/>
              <w:right w:val="single" w:sz="8" w:space="0" w:color="000000"/>
            </w:tcBorders>
            <w:vAlign w:val="center"/>
          </w:tcPr>
          <w:p w14:paraId="4C4C3C3A" w14:textId="77777777" w:rsidR="00963AB6" w:rsidRPr="0033055B" w:rsidRDefault="00963AB6" w:rsidP="003E6550">
            <w:pPr>
              <w:jc w:val="center"/>
              <w:rPr>
                <w:rFonts w:cstheme="minorHAnsi"/>
                <w:lang w:val="en-GB"/>
              </w:rPr>
            </w:pPr>
          </w:p>
        </w:tc>
        <w:tc>
          <w:tcPr>
            <w:tcW w:w="1002" w:type="dxa"/>
            <w:tcBorders>
              <w:top w:val="single" w:sz="8" w:space="0" w:color="000000"/>
              <w:left w:val="single" w:sz="8" w:space="0" w:color="000000"/>
              <w:bottom w:val="single" w:sz="8" w:space="0" w:color="000000"/>
              <w:right w:val="single" w:sz="8" w:space="0" w:color="000000"/>
            </w:tcBorders>
            <w:vAlign w:val="center"/>
          </w:tcPr>
          <w:p w14:paraId="23AF4A19" w14:textId="77777777" w:rsidR="00963AB6" w:rsidRPr="0033055B" w:rsidRDefault="00963AB6" w:rsidP="003E6550">
            <w:pPr>
              <w:jc w:val="center"/>
              <w:rPr>
                <w:rFonts w:cstheme="minorHAnsi"/>
                <w:lang w:val="en-GB"/>
              </w:rPr>
            </w:pPr>
          </w:p>
        </w:tc>
      </w:tr>
      <w:tr w:rsidR="00963AB6" w:rsidRPr="0033055B" w14:paraId="48A78CB1" w14:textId="77777777" w:rsidTr="003E6550">
        <w:trPr>
          <w:gridAfter w:val="1"/>
          <w:wAfter w:w="6" w:type="dxa"/>
          <w:trHeight w:val="246"/>
          <w:jc w:val="center"/>
        </w:trPr>
        <w:tc>
          <w:tcPr>
            <w:tcW w:w="2114" w:type="dxa"/>
            <w:tcBorders>
              <w:top w:val="single" w:sz="8" w:space="0" w:color="000000"/>
              <w:left w:val="single" w:sz="8" w:space="0" w:color="000000"/>
              <w:bottom w:val="single" w:sz="8" w:space="0" w:color="000000"/>
              <w:right w:val="single" w:sz="8" w:space="0" w:color="000000"/>
            </w:tcBorders>
          </w:tcPr>
          <w:p w14:paraId="09781384" w14:textId="77777777" w:rsidR="00963AB6" w:rsidRPr="0033055B" w:rsidRDefault="00963AB6" w:rsidP="003E6550">
            <w:pPr>
              <w:jc w:val="center"/>
              <w:rPr>
                <w:rFonts w:cstheme="minorHAnsi"/>
              </w:rPr>
            </w:pPr>
            <w:r>
              <w:t xml:space="preserve">Era: </w:t>
            </w:r>
          </w:p>
        </w:tc>
        <w:tc>
          <w:tcPr>
            <w:tcW w:w="1000" w:type="dxa"/>
            <w:tcBorders>
              <w:top w:val="single" w:sz="8" w:space="0" w:color="000000"/>
              <w:left w:val="single" w:sz="8" w:space="0" w:color="000000"/>
              <w:bottom w:val="single" w:sz="8" w:space="0" w:color="000000"/>
              <w:right w:val="single" w:sz="8" w:space="0" w:color="000000"/>
            </w:tcBorders>
            <w:vAlign w:val="center"/>
          </w:tcPr>
          <w:p w14:paraId="5E91637A" w14:textId="77777777" w:rsidR="00963AB6" w:rsidRPr="0033055B" w:rsidRDefault="00963AB6" w:rsidP="003E6550">
            <w:pPr>
              <w:jc w:val="center"/>
              <w:rPr>
                <w:rFonts w:cstheme="minorHAnsi"/>
                <w:lang w:val="en-GB"/>
              </w:rPr>
            </w:pPr>
          </w:p>
        </w:tc>
        <w:tc>
          <w:tcPr>
            <w:tcW w:w="1001" w:type="dxa"/>
            <w:tcBorders>
              <w:top w:val="single" w:sz="8" w:space="0" w:color="000000"/>
              <w:left w:val="single" w:sz="8" w:space="0" w:color="000000"/>
              <w:bottom w:val="single" w:sz="8" w:space="0" w:color="000000"/>
              <w:right w:val="single" w:sz="8" w:space="0" w:color="000000"/>
            </w:tcBorders>
            <w:vAlign w:val="center"/>
          </w:tcPr>
          <w:p w14:paraId="0AA225D3" w14:textId="77777777" w:rsidR="00963AB6" w:rsidRPr="0033055B" w:rsidRDefault="00963AB6" w:rsidP="003E6550">
            <w:pPr>
              <w:jc w:val="center"/>
              <w:rPr>
                <w:rFonts w:cstheme="minorHAnsi"/>
                <w:lang w:val="en-GB"/>
              </w:rPr>
            </w:pPr>
          </w:p>
        </w:tc>
        <w:tc>
          <w:tcPr>
            <w:tcW w:w="1000" w:type="dxa"/>
            <w:tcBorders>
              <w:top w:val="single" w:sz="8" w:space="0" w:color="000000"/>
              <w:left w:val="single" w:sz="8" w:space="0" w:color="000000"/>
              <w:bottom w:val="single" w:sz="8" w:space="0" w:color="000000"/>
              <w:right w:val="single" w:sz="8" w:space="0" w:color="000000"/>
            </w:tcBorders>
            <w:vAlign w:val="center"/>
          </w:tcPr>
          <w:p w14:paraId="0991D5B7" w14:textId="77777777" w:rsidR="00963AB6" w:rsidRPr="0033055B" w:rsidRDefault="00963AB6" w:rsidP="003E6550">
            <w:pPr>
              <w:jc w:val="center"/>
              <w:rPr>
                <w:rFonts w:cstheme="minorHAnsi"/>
                <w:lang w:val="en-GB"/>
              </w:rPr>
            </w:pPr>
          </w:p>
        </w:tc>
        <w:tc>
          <w:tcPr>
            <w:tcW w:w="1003" w:type="dxa"/>
            <w:tcBorders>
              <w:top w:val="single" w:sz="8" w:space="0" w:color="000000"/>
              <w:left w:val="single" w:sz="8" w:space="0" w:color="000000"/>
              <w:bottom w:val="single" w:sz="8" w:space="0" w:color="000000"/>
              <w:right w:val="single" w:sz="8" w:space="0" w:color="000000"/>
            </w:tcBorders>
            <w:vAlign w:val="center"/>
          </w:tcPr>
          <w:p w14:paraId="3AC07A97" w14:textId="77777777" w:rsidR="00963AB6" w:rsidRPr="0033055B" w:rsidRDefault="00963AB6" w:rsidP="003E6550">
            <w:pPr>
              <w:jc w:val="center"/>
              <w:rPr>
                <w:rFonts w:cstheme="minorHAnsi"/>
                <w:lang w:val="en-GB"/>
              </w:rPr>
            </w:pPr>
          </w:p>
        </w:tc>
        <w:tc>
          <w:tcPr>
            <w:tcW w:w="1001" w:type="dxa"/>
            <w:tcBorders>
              <w:top w:val="single" w:sz="8" w:space="0" w:color="000000"/>
              <w:left w:val="single" w:sz="8" w:space="0" w:color="000000"/>
              <w:bottom w:val="single" w:sz="8" w:space="0" w:color="000000"/>
              <w:right w:val="single" w:sz="8" w:space="0" w:color="000000"/>
            </w:tcBorders>
            <w:vAlign w:val="center"/>
          </w:tcPr>
          <w:p w14:paraId="052BB3AC" w14:textId="77777777" w:rsidR="00963AB6" w:rsidRPr="0033055B" w:rsidRDefault="00963AB6" w:rsidP="003E6550">
            <w:pPr>
              <w:jc w:val="center"/>
              <w:rPr>
                <w:rFonts w:cstheme="minorHAnsi"/>
                <w:lang w:val="en-GB"/>
              </w:rPr>
            </w:pPr>
          </w:p>
        </w:tc>
        <w:tc>
          <w:tcPr>
            <w:tcW w:w="1002" w:type="dxa"/>
            <w:tcBorders>
              <w:top w:val="single" w:sz="8" w:space="0" w:color="000000"/>
              <w:left w:val="single" w:sz="8" w:space="0" w:color="000000"/>
              <w:bottom w:val="single" w:sz="8" w:space="0" w:color="000000"/>
              <w:right w:val="single" w:sz="8" w:space="0" w:color="000000"/>
            </w:tcBorders>
            <w:vAlign w:val="center"/>
          </w:tcPr>
          <w:p w14:paraId="78988587" w14:textId="77777777" w:rsidR="00963AB6" w:rsidRPr="0033055B" w:rsidRDefault="00963AB6" w:rsidP="003E6550">
            <w:pPr>
              <w:jc w:val="center"/>
              <w:rPr>
                <w:rFonts w:cstheme="minorHAnsi"/>
                <w:lang w:val="en-GB"/>
              </w:rPr>
            </w:pPr>
          </w:p>
        </w:tc>
        <w:tc>
          <w:tcPr>
            <w:tcW w:w="1001" w:type="dxa"/>
            <w:tcBorders>
              <w:top w:val="single" w:sz="8" w:space="0" w:color="000000"/>
              <w:left w:val="single" w:sz="8" w:space="0" w:color="000000"/>
              <w:bottom w:val="single" w:sz="8" w:space="0" w:color="000000"/>
              <w:right w:val="single" w:sz="8" w:space="0" w:color="000000"/>
            </w:tcBorders>
            <w:vAlign w:val="center"/>
          </w:tcPr>
          <w:p w14:paraId="0E478727" w14:textId="77777777" w:rsidR="00963AB6" w:rsidRPr="0033055B" w:rsidRDefault="00963AB6" w:rsidP="003E6550">
            <w:pPr>
              <w:jc w:val="center"/>
              <w:rPr>
                <w:rFonts w:cstheme="minorHAnsi"/>
                <w:lang w:val="en-GB"/>
              </w:rPr>
            </w:pPr>
          </w:p>
        </w:tc>
        <w:tc>
          <w:tcPr>
            <w:tcW w:w="1003" w:type="dxa"/>
            <w:tcBorders>
              <w:top w:val="single" w:sz="8" w:space="0" w:color="000000"/>
              <w:left w:val="single" w:sz="8" w:space="0" w:color="000000"/>
              <w:bottom w:val="single" w:sz="8" w:space="0" w:color="000000"/>
              <w:right w:val="single" w:sz="8" w:space="0" w:color="000000"/>
            </w:tcBorders>
            <w:vAlign w:val="center"/>
          </w:tcPr>
          <w:p w14:paraId="6918A76D" w14:textId="77777777" w:rsidR="00963AB6" w:rsidRPr="0033055B" w:rsidRDefault="00963AB6" w:rsidP="003E6550">
            <w:pPr>
              <w:jc w:val="center"/>
              <w:rPr>
                <w:rFonts w:cstheme="minorHAnsi"/>
                <w:lang w:val="en-GB"/>
              </w:rPr>
            </w:pPr>
          </w:p>
        </w:tc>
        <w:tc>
          <w:tcPr>
            <w:tcW w:w="1001" w:type="dxa"/>
            <w:tcBorders>
              <w:top w:val="single" w:sz="8" w:space="0" w:color="000000"/>
              <w:left w:val="single" w:sz="8" w:space="0" w:color="000000"/>
              <w:bottom w:val="single" w:sz="8" w:space="0" w:color="000000"/>
              <w:right w:val="single" w:sz="8" w:space="0" w:color="000000"/>
            </w:tcBorders>
            <w:vAlign w:val="center"/>
          </w:tcPr>
          <w:p w14:paraId="71DBECA4" w14:textId="77777777" w:rsidR="00963AB6" w:rsidRPr="0033055B" w:rsidRDefault="00963AB6" w:rsidP="003E6550">
            <w:pPr>
              <w:jc w:val="center"/>
              <w:rPr>
                <w:rFonts w:cstheme="minorHAnsi"/>
                <w:lang w:val="en-GB"/>
              </w:rPr>
            </w:pPr>
          </w:p>
        </w:tc>
        <w:tc>
          <w:tcPr>
            <w:tcW w:w="1002" w:type="dxa"/>
            <w:tcBorders>
              <w:top w:val="single" w:sz="8" w:space="0" w:color="000000"/>
              <w:left w:val="single" w:sz="8" w:space="0" w:color="000000"/>
              <w:bottom w:val="single" w:sz="8" w:space="0" w:color="000000"/>
              <w:right w:val="single" w:sz="8" w:space="0" w:color="000000"/>
            </w:tcBorders>
            <w:vAlign w:val="center"/>
          </w:tcPr>
          <w:p w14:paraId="1D124CF0" w14:textId="77777777" w:rsidR="00963AB6" w:rsidRPr="0033055B" w:rsidRDefault="00963AB6" w:rsidP="003E6550">
            <w:pPr>
              <w:jc w:val="center"/>
              <w:rPr>
                <w:rFonts w:cstheme="minorHAnsi"/>
                <w:lang w:val="en-GB"/>
              </w:rPr>
            </w:pPr>
          </w:p>
        </w:tc>
        <w:tc>
          <w:tcPr>
            <w:tcW w:w="1001" w:type="dxa"/>
            <w:tcBorders>
              <w:top w:val="single" w:sz="8" w:space="0" w:color="000000"/>
              <w:left w:val="single" w:sz="8" w:space="0" w:color="000000"/>
              <w:bottom w:val="single" w:sz="8" w:space="0" w:color="000000"/>
              <w:right w:val="single" w:sz="8" w:space="0" w:color="000000"/>
            </w:tcBorders>
            <w:vAlign w:val="center"/>
          </w:tcPr>
          <w:p w14:paraId="621E4251" w14:textId="77777777" w:rsidR="00963AB6" w:rsidRPr="0033055B" w:rsidRDefault="00963AB6" w:rsidP="003E6550">
            <w:pPr>
              <w:jc w:val="center"/>
              <w:rPr>
                <w:rFonts w:cstheme="minorHAnsi"/>
                <w:lang w:val="en-GB"/>
              </w:rPr>
            </w:pPr>
          </w:p>
        </w:tc>
        <w:tc>
          <w:tcPr>
            <w:tcW w:w="1002" w:type="dxa"/>
            <w:tcBorders>
              <w:top w:val="single" w:sz="8" w:space="0" w:color="000000"/>
              <w:left w:val="single" w:sz="8" w:space="0" w:color="000000"/>
              <w:bottom w:val="single" w:sz="8" w:space="0" w:color="000000"/>
              <w:right w:val="single" w:sz="8" w:space="0" w:color="000000"/>
            </w:tcBorders>
            <w:vAlign w:val="center"/>
          </w:tcPr>
          <w:p w14:paraId="3DE300EE" w14:textId="77777777" w:rsidR="00963AB6" w:rsidRPr="0033055B" w:rsidRDefault="00963AB6" w:rsidP="003E6550">
            <w:pPr>
              <w:jc w:val="center"/>
              <w:rPr>
                <w:rFonts w:cstheme="minorHAnsi"/>
                <w:lang w:val="en-GB"/>
              </w:rPr>
            </w:pPr>
          </w:p>
        </w:tc>
      </w:tr>
      <w:tr w:rsidR="00D52048" w:rsidRPr="0033055B" w14:paraId="70473D23" w14:textId="77777777" w:rsidTr="003E6550">
        <w:trPr>
          <w:gridAfter w:val="1"/>
          <w:wAfter w:w="6" w:type="dxa"/>
          <w:trHeight w:val="470"/>
          <w:jc w:val="center"/>
        </w:trPr>
        <w:tc>
          <w:tcPr>
            <w:tcW w:w="2114" w:type="dxa"/>
            <w:tcBorders>
              <w:top w:val="single" w:sz="8" w:space="0" w:color="000000"/>
              <w:left w:val="single" w:sz="8" w:space="0" w:color="000000"/>
              <w:bottom w:val="single" w:sz="4" w:space="0" w:color="000000"/>
              <w:right w:val="single" w:sz="8" w:space="0" w:color="000000"/>
            </w:tcBorders>
            <w:vAlign w:val="center"/>
          </w:tcPr>
          <w:p w14:paraId="5ECD4129" w14:textId="77777777" w:rsidR="00D52048" w:rsidRPr="0033055B" w:rsidRDefault="00D52048" w:rsidP="00D52048">
            <w:pPr>
              <w:ind w:left="140"/>
              <w:jc w:val="center"/>
              <w:rPr>
                <w:rFonts w:cstheme="minorHAnsi"/>
              </w:rPr>
            </w:pPr>
            <w:r>
              <w:rPr>
                <w:i/>
              </w:rPr>
              <w:t>Në breg</w:t>
            </w:r>
          </w:p>
        </w:tc>
        <w:tc>
          <w:tcPr>
            <w:tcW w:w="1000" w:type="dxa"/>
            <w:tcBorders>
              <w:top w:val="single" w:sz="8" w:space="0" w:color="000000"/>
              <w:left w:val="single" w:sz="8" w:space="0" w:color="000000"/>
              <w:bottom w:val="single" w:sz="4" w:space="0" w:color="000000"/>
              <w:right w:val="single" w:sz="8" w:space="0" w:color="000000"/>
            </w:tcBorders>
            <w:vAlign w:val="center"/>
          </w:tcPr>
          <w:p w14:paraId="03499A17" w14:textId="77777777" w:rsidR="00D52048" w:rsidRPr="0033055B" w:rsidRDefault="00D52048" w:rsidP="00D52048">
            <w:pPr>
              <w:jc w:val="center"/>
              <w:rPr>
                <w:rFonts w:cstheme="minorHAnsi"/>
                <w:lang w:val="en-GB"/>
              </w:rPr>
            </w:pPr>
          </w:p>
        </w:tc>
        <w:tc>
          <w:tcPr>
            <w:tcW w:w="1001" w:type="dxa"/>
            <w:tcBorders>
              <w:top w:val="single" w:sz="8" w:space="0" w:color="000000"/>
              <w:left w:val="single" w:sz="8" w:space="0" w:color="000000"/>
              <w:bottom w:val="single" w:sz="4" w:space="0" w:color="000000"/>
              <w:right w:val="single" w:sz="8" w:space="0" w:color="000000"/>
            </w:tcBorders>
            <w:vAlign w:val="center"/>
          </w:tcPr>
          <w:p w14:paraId="39A90FD1" w14:textId="77777777" w:rsidR="00D52048" w:rsidRPr="0033055B" w:rsidRDefault="00D52048" w:rsidP="00D52048">
            <w:pPr>
              <w:jc w:val="center"/>
              <w:rPr>
                <w:rFonts w:cstheme="minorHAnsi"/>
                <w:lang w:val="en-GB"/>
              </w:rPr>
            </w:pPr>
          </w:p>
        </w:tc>
        <w:tc>
          <w:tcPr>
            <w:tcW w:w="1000" w:type="dxa"/>
            <w:tcBorders>
              <w:top w:val="single" w:sz="8" w:space="0" w:color="000000"/>
              <w:left w:val="single" w:sz="8" w:space="0" w:color="000000"/>
              <w:bottom w:val="single" w:sz="4" w:space="0" w:color="000000"/>
              <w:right w:val="single" w:sz="8" w:space="0" w:color="000000"/>
            </w:tcBorders>
            <w:vAlign w:val="center"/>
          </w:tcPr>
          <w:p w14:paraId="25D085E5" w14:textId="77777777" w:rsidR="00D52048" w:rsidRPr="0033055B" w:rsidRDefault="00D52048" w:rsidP="00D52048">
            <w:pPr>
              <w:jc w:val="center"/>
              <w:rPr>
                <w:rFonts w:cstheme="minorHAnsi"/>
              </w:rPr>
            </w:pPr>
            <w:r>
              <w:t>1.35</w:t>
            </w:r>
          </w:p>
        </w:tc>
        <w:tc>
          <w:tcPr>
            <w:tcW w:w="1003" w:type="dxa"/>
            <w:tcBorders>
              <w:top w:val="single" w:sz="8" w:space="0" w:color="000000"/>
              <w:left w:val="single" w:sz="8" w:space="0" w:color="000000"/>
              <w:bottom w:val="single" w:sz="4" w:space="0" w:color="000000"/>
              <w:right w:val="single" w:sz="8" w:space="0" w:color="000000"/>
            </w:tcBorders>
            <w:vAlign w:val="center"/>
          </w:tcPr>
          <w:p w14:paraId="4BAD58D0" w14:textId="77777777" w:rsidR="00D52048" w:rsidRPr="0033055B" w:rsidRDefault="00060D17" w:rsidP="00D52048">
            <w:pPr>
              <w:jc w:val="center"/>
              <w:rPr>
                <w:rFonts w:cstheme="minorHAnsi"/>
              </w:rPr>
            </w:pPr>
            <w:r>
              <w:t>1</w:t>
            </w:r>
          </w:p>
        </w:tc>
        <w:tc>
          <w:tcPr>
            <w:tcW w:w="1001" w:type="dxa"/>
            <w:tcBorders>
              <w:top w:val="single" w:sz="8" w:space="0" w:color="000000"/>
              <w:left w:val="single" w:sz="8" w:space="0" w:color="000000"/>
              <w:bottom w:val="single" w:sz="4" w:space="0" w:color="000000"/>
              <w:right w:val="single" w:sz="8" w:space="0" w:color="000000"/>
            </w:tcBorders>
            <w:vAlign w:val="center"/>
          </w:tcPr>
          <w:p w14:paraId="54350D5C" w14:textId="77777777" w:rsidR="00D52048" w:rsidRPr="0033055B" w:rsidRDefault="00D52048" w:rsidP="00D52048">
            <w:pPr>
              <w:jc w:val="center"/>
              <w:rPr>
                <w:rFonts w:cstheme="minorHAnsi"/>
              </w:rPr>
            </w:pPr>
            <w:r>
              <w:t>1.35</w:t>
            </w:r>
          </w:p>
        </w:tc>
        <w:tc>
          <w:tcPr>
            <w:tcW w:w="1002" w:type="dxa"/>
            <w:tcBorders>
              <w:top w:val="single" w:sz="8" w:space="0" w:color="000000"/>
              <w:left w:val="single" w:sz="8" w:space="0" w:color="000000"/>
              <w:bottom w:val="single" w:sz="4" w:space="0" w:color="000000"/>
              <w:right w:val="single" w:sz="8" w:space="0" w:color="000000"/>
            </w:tcBorders>
            <w:vAlign w:val="center"/>
          </w:tcPr>
          <w:p w14:paraId="124E6E8C" w14:textId="77777777" w:rsidR="00D52048" w:rsidRPr="0033055B" w:rsidRDefault="00060D17" w:rsidP="00D52048">
            <w:pPr>
              <w:jc w:val="center"/>
              <w:rPr>
                <w:rFonts w:cstheme="minorHAnsi"/>
              </w:rPr>
            </w:pPr>
            <w:r>
              <w:t>0</w:t>
            </w:r>
          </w:p>
        </w:tc>
        <w:tc>
          <w:tcPr>
            <w:tcW w:w="1001" w:type="dxa"/>
            <w:tcBorders>
              <w:top w:val="single" w:sz="8" w:space="0" w:color="000000"/>
              <w:left w:val="single" w:sz="8" w:space="0" w:color="000000"/>
              <w:bottom w:val="single" w:sz="4" w:space="0" w:color="000000"/>
              <w:right w:val="single" w:sz="8" w:space="0" w:color="000000"/>
            </w:tcBorders>
            <w:vAlign w:val="center"/>
          </w:tcPr>
          <w:p w14:paraId="65F3A874" w14:textId="77777777" w:rsidR="00D52048" w:rsidRPr="0033055B" w:rsidRDefault="00D52048" w:rsidP="00D52048">
            <w:pPr>
              <w:jc w:val="center"/>
              <w:rPr>
                <w:rFonts w:cstheme="minorHAnsi"/>
              </w:rPr>
            </w:pPr>
            <w:r>
              <w:t>1.35</w:t>
            </w:r>
          </w:p>
        </w:tc>
        <w:tc>
          <w:tcPr>
            <w:tcW w:w="1003" w:type="dxa"/>
            <w:tcBorders>
              <w:top w:val="single" w:sz="8" w:space="0" w:color="000000"/>
              <w:left w:val="single" w:sz="8" w:space="0" w:color="000000"/>
              <w:bottom w:val="single" w:sz="4" w:space="0" w:color="000000"/>
              <w:right w:val="single" w:sz="8" w:space="0" w:color="000000"/>
            </w:tcBorders>
            <w:vAlign w:val="center"/>
          </w:tcPr>
          <w:p w14:paraId="4F9261CD" w14:textId="77777777" w:rsidR="00D52048" w:rsidRPr="0033055B" w:rsidRDefault="00060D17" w:rsidP="00D52048">
            <w:pPr>
              <w:jc w:val="center"/>
              <w:rPr>
                <w:rFonts w:cstheme="minorHAnsi"/>
              </w:rPr>
            </w:pPr>
            <w:r>
              <w:t>0</w:t>
            </w:r>
          </w:p>
        </w:tc>
        <w:tc>
          <w:tcPr>
            <w:tcW w:w="1001" w:type="dxa"/>
            <w:tcBorders>
              <w:top w:val="single" w:sz="8" w:space="0" w:color="000000"/>
              <w:left w:val="single" w:sz="8" w:space="0" w:color="000000"/>
              <w:bottom w:val="single" w:sz="4" w:space="0" w:color="000000"/>
              <w:right w:val="single" w:sz="8" w:space="0" w:color="000000"/>
            </w:tcBorders>
            <w:vAlign w:val="center"/>
          </w:tcPr>
          <w:p w14:paraId="3DBED262" w14:textId="77777777" w:rsidR="00D52048" w:rsidRPr="0033055B" w:rsidRDefault="00D52048" w:rsidP="00D52048">
            <w:pPr>
              <w:jc w:val="center"/>
              <w:rPr>
                <w:rFonts w:cstheme="minorHAnsi"/>
              </w:rPr>
            </w:pPr>
            <w:r>
              <w:t>1.35</w:t>
            </w:r>
          </w:p>
        </w:tc>
        <w:tc>
          <w:tcPr>
            <w:tcW w:w="1002" w:type="dxa"/>
            <w:tcBorders>
              <w:top w:val="single" w:sz="8" w:space="0" w:color="000000"/>
              <w:left w:val="single" w:sz="8" w:space="0" w:color="000000"/>
              <w:bottom w:val="single" w:sz="4" w:space="0" w:color="000000"/>
              <w:right w:val="single" w:sz="8" w:space="0" w:color="000000"/>
            </w:tcBorders>
            <w:vAlign w:val="center"/>
          </w:tcPr>
          <w:p w14:paraId="5C99DC6E" w14:textId="77777777" w:rsidR="00D52048" w:rsidRPr="0033055B" w:rsidRDefault="00060D17" w:rsidP="00D52048">
            <w:pPr>
              <w:jc w:val="center"/>
              <w:rPr>
                <w:rFonts w:cstheme="minorHAnsi"/>
              </w:rPr>
            </w:pPr>
            <w:r>
              <w:t>0</w:t>
            </w:r>
          </w:p>
        </w:tc>
        <w:tc>
          <w:tcPr>
            <w:tcW w:w="1001" w:type="dxa"/>
            <w:tcBorders>
              <w:top w:val="single" w:sz="8" w:space="0" w:color="000000"/>
              <w:left w:val="single" w:sz="8" w:space="0" w:color="000000"/>
              <w:bottom w:val="single" w:sz="4" w:space="0" w:color="000000"/>
              <w:right w:val="single" w:sz="8" w:space="0" w:color="000000"/>
            </w:tcBorders>
            <w:vAlign w:val="center"/>
          </w:tcPr>
          <w:p w14:paraId="15AA5835" w14:textId="77777777" w:rsidR="00D52048" w:rsidRPr="0033055B" w:rsidRDefault="00D52048" w:rsidP="00D52048">
            <w:pPr>
              <w:jc w:val="center"/>
              <w:rPr>
                <w:rFonts w:cstheme="minorHAnsi"/>
              </w:rPr>
            </w:pPr>
            <w:r>
              <w:t>1.35</w:t>
            </w:r>
          </w:p>
        </w:tc>
        <w:tc>
          <w:tcPr>
            <w:tcW w:w="1002" w:type="dxa"/>
            <w:tcBorders>
              <w:top w:val="single" w:sz="8" w:space="0" w:color="000000"/>
              <w:left w:val="single" w:sz="8" w:space="0" w:color="000000"/>
              <w:bottom w:val="single" w:sz="4" w:space="0" w:color="000000"/>
              <w:right w:val="single" w:sz="8" w:space="0" w:color="000000"/>
            </w:tcBorders>
            <w:vAlign w:val="center"/>
          </w:tcPr>
          <w:p w14:paraId="4306A07A" w14:textId="77777777" w:rsidR="00D52048" w:rsidRPr="0033055B" w:rsidRDefault="00060D17" w:rsidP="00D52048">
            <w:pPr>
              <w:jc w:val="center"/>
              <w:rPr>
                <w:rFonts w:cstheme="minorHAnsi"/>
              </w:rPr>
            </w:pPr>
            <w:r>
              <w:t>0</w:t>
            </w:r>
          </w:p>
        </w:tc>
      </w:tr>
      <w:tr w:rsidR="00963AB6" w:rsidRPr="0033055B" w14:paraId="14D9ECD5" w14:textId="77777777" w:rsidTr="003E6550">
        <w:trPr>
          <w:gridAfter w:val="1"/>
          <w:wAfter w:w="6" w:type="dxa"/>
          <w:trHeight w:val="242"/>
          <w:jc w:val="center"/>
        </w:trPr>
        <w:tc>
          <w:tcPr>
            <w:tcW w:w="2114" w:type="dxa"/>
            <w:tcBorders>
              <w:top w:val="single" w:sz="4" w:space="0" w:color="000000"/>
              <w:left w:val="single" w:sz="8" w:space="0" w:color="000000"/>
              <w:bottom w:val="single" w:sz="8" w:space="0" w:color="000000"/>
              <w:right w:val="single" w:sz="8" w:space="0" w:color="000000"/>
            </w:tcBorders>
          </w:tcPr>
          <w:p w14:paraId="7801593A" w14:textId="77777777" w:rsidR="00963AB6" w:rsidRPr="0033055B" w:rsidRDefault="00963AB6" w:rsidP="003E6550">
            <w:pPr>
              <w:ind w:left="140"/>
              <w:jc w:val="center"/>
              <w:rPr>
                <w:rFonts w:cstheme="minorHAnsi"/>
              </w:rPr>
            </w:pPr>
            <w:r>
              <w:rPr>
                <w:i/>
              </w:rPr>
              <w:t>Larg bregut</w:t>
            </w:r>
          </w:p>
        </w:tc>
        <w:tc>
          <w:tcPr>
            <w:tcW w:w="1000" w:type="dxa"/>
            <w:tcBorders>
              <w:top w:val="single" w:sz="4" w:space="0" w:color="000000"/>
              <w:left w:val="single" w:sz="8" w:space="0" w:color="000000"/>
              <w:bottom w:val="single" w:sz="8" w:space="0" w:color="000000"/>
              <w:right w:val="single" w:sz="8" w:space="0" w:color="000000"/>
            </w:tcBorders>
            <w:vAlign w:val="center"/>
          </w:tcPr>
          <w:p w14:paraId="66C90D77" w14:textId="77777777" w:rsidR="00963AB6" w:rsidRPr="0033055B" w:rsidRDefault="00963AB6" w:rsidP="003E6550">
            <w:pPr>
              <w:jc w:val="center"/>
              <w:rPr>
                <w:rFonts w:cstheme="minorHAnsi"/>
                <w:lang w:val="en-GB"/>
              </w:rPr>
            </w:pPr>
          </w:p>
        </w:tc>
        <w:tc>
          <w:tcPr>
            <w:tcW w:w="1001" w:type="dxa"/>
            <w:tcBorders>
              <w:top w:val="single" w:sz="4" w:space="0" w:color="000000"/>
              <w:left w:val="single" w:sz="8" w:space="0" w:color="000000"/>
              <w:bottom w:val="single" w:sz="8" w:space="0" w:color="000000"/>
              <w:right w:val="single" w:sz="8" w:space="0" w:color="000000"/>
            </w:tcBorders>
            <w:vAlign w:val="center"/>
          </w:tcPr>
          <w:p w14:paraId="4A1670C3" w14:textId="77777777" w:rsidR="00963AB6" w:rsidRPr="0033055B" w:rsidRDefault="00963AB6" w:rsidP="003E6550">
            <w:pPr>
              <w:jc w:val="center"/>
              <w:rPr>
                <w:rFonts w:cstheme="minorHAnsi"/>
                <w:lang w:val="en-GB"/>
              </w:rPr>
            </w:pPr>
          </w:p>
        </w:tc>
        <w:tc>
          <w:tcPr>
            <w:tcW w:w="1000" w:type="dxa"/>
            <w:tcBorders>
              <w:top w:val="single" w:sz="4" w:space="0" w:color="000000"/>
              <w:left w:val="single" w:sz="8" w:space="0" w:color="000000"/>
              <w:bottom w:val="single" w:sz="8" w:space="0" w:color="000000"/>
              <w:right w:val="single" w:sz="8" w:space="0" w:color="000000"/>
            </w:tcBorders>
            <w:vAlign w:val="center"/>
          </w:tcPr>
          <w:p w14:paraId="59F0BD35" w14:textId="77777777" w:rsidR="00963AB6" w:rsidRPr="0033055B" w:rsidRDefault="00963AB6" w:rsidP="003E6550">
            <w:pPr>
              <w:jc w:val="center"/>
              <w:rPr>
                <w:rFonts w:cstheme="minorHAnsi"/>
                <w:lang w:val="en-GB"/>
              </w:rPr>
            </w:pPr>
          </w:p>
        </w:tc>
        <w:tc>
          <w:tcPr>
            <w:tcW w:w="1003" w:type="dxa"/>
            <w:tcBorders>
              <w:top w:val="single" w:sz="4" w:space="0" w:color="000000"/>
              <w:left w:val="single" w:sz="8" w:space="0" w:color="000000"/>
              <w:bottom w:val="single" w:sz="8" w:space="0" w:color="000000"/>
              <w:right w:val="single" w:sz="8" w:space="0" w:color="000000"/>
            </w:tcBorders>
            <w:vAlign w:val="center"/>
          </w:tcPr>
          <w:p w14:paraId="03978854" w14:textId="77777777" w:rsidR="00963AB6" w:rsidRPr="0033055B" w:rsidRDefault="00963AB6" w:rsidP="003E6550">
            <w:pPr>
              <w:jc w:val="center"/>
              <w:rPr>
                <w:rFonts w:cstheme="minorHAnsi"/>
                <w:lang w:val="en-GB"/>
              </w:rPr>
            </w:pPr>
          </w:p>
        </w:tc>
        <w:tc>
          <w:tcPr>
            <w:tcW w:w="1001" w:type="dxa"/>
            <w:tcBorders>
              <w:top w:val="single" w:sz="4" w:space="0" w:color="000000"/>
              <w:left w:val="single" w:sz="8" w:space="0" w:color="000000"/>
              <w:bottom w:val="single" w:sz="8" w:space="0" w:color="000000"/>
              <w:right w:val="single" w:sz="8" w:space="0" w:color="000000"/>
            </w:tcBorders>
            <w:vAlign w:val="center"/>
          </w:tcPr>
          <w:p w14:paraId="6755AB78" w14:textId="77777777" w:rsidR="00963AB6" w:rsidRPr="0033055B" w:rsidRDefault="00963AB6" w:rsidP="003E6550">
            <w:pPr>
              <w:jc w:val="center"/>
              <w:rPr>
                <w:rFonts w:cstheme="minorHAnsi"/>
                <w:lang w:val="en-GB"/>
              </w:rPr>
            </w:pPr>
          </w:p>
        </w:tc>
        <w:tc>
          <w:tcPr>
            <w:tcW w:w="1002" w:type="dxa"/>
            <w:tcBorders>
              <w:top w:val="single" w:sz="4" w:space="0" w:color="000000"/>
              <w:left w:val="single" w:sz="8" w:space="0" w:color="000000"/>
              <w:bottom w:val="single" w:sz="8" w:space="0" w:color="000000"/>
              <w:right w:val="single" w:sz="8" w:space="0" w:color="000000"/>
            </w:tcBorders>
            <w:vAlign w:val="center"/>
          </w:tcPr>
          <w:p w14:paraId="5CA01A32" w14:textId="77777777" w:rsidR="00963AB6" w:rsidRPr="0033055B" w:rsidRDefault="00963AB6" w:rsidP="003E6550">
            <w:pPr>
              <w:jc w:val="center"/>
              <w:rPr>
                <w:rFonts w:cstheme="minorHAnsi"/>
                <w:lang w:val="en-GB"/>
              </w:rPr>
            </w:pPr>
          </w:p>
        </w:tc>
        <w:tc>
          <w:tcPr>
            <w:tcW w:w="1001" w:type="dxa"/>
            <w:tcBorders>
              <w:top w:val="single" w:sz="4" w:space="0" w:color="000000"/>
              <w:left w:val="single" w:sz="8" w:space="0" w:color="000000"/>
              <w:bottom w:val="single" w:sz="8" w:space="0" w:color="000000"/>
              <w:right w:val="single" w:sz="8" w:space="0" w:color="000000"/>
            </w:tcBorders>
            <w:vAlign w:val="center"/>
          </w:tcPr>
          <w:p w14:paraId="0519D6D2" w14:textId="77777777" w:rsidR="00963AB6" w:rsidRPr="0033055B" w:rsidRDefault="00963AB6" w:rsidP="003E6550">
            <w:pPr>
              <w:jc w:val="center"/>
              <w:rPr>
                <w:rFonts w:cstheme="minorHAnsi"/>
                <w:lang w:val="en-GB"/>
              </w:rPr>
            </w:pPr>
          </w:p>
        </w:tc>
        <w:tc>
          <w:tcPr>
            <w:tcW w:w="1003" w:type="dxa"/>
            <w:tcBorders>
              <w:top w:val="single" w:sz="4" w:space="0" w:color="000000"/>
              <w:left w:val="single" w:sz="8" w:space="0" w:color="000000"/>
              <w:bottom w:val="single" w:sz="8" w:space="0" w:color="000000"/>
              <w:right w:val="single" w:sz="8" w:space="0" w:color="000000"/>
            </w:tcBorders>
            <w:vAlign w:val="center"/>
          </w:tcPr>
          <w:p w14:paraId="4B52E3EC" w14:textId="77777777" w:rsidR="00963AB6" w:rsidRPr="0033055B" w:rsidRDefault="00963AB6" w:rsidP="003E6550">
            <w:pPr>
              <w:jc w:val="center"/>
              <w:rPr>
                <w:rFonts w:cstheme="minorHAnsi"/>
                <w:lang w:val="en-GB"/>
              </w:rPr>
            </w:pPr>
          </w:p>
        </w:tc>
        <w:tc>
          <w:tcPr>
            <w:tcW w:w="1001" w:type="dxa"/>
            <w:tcBorders>
              <w:top w:val="single" w:sz="4" w:space="0" w:color="000000"/>
              <w:left w:val="single" w:sz="8" w:space="0" w:color="000000"/>
              <w:bottom w:val="single" w:sz="8" w:space="0" w:color="000000"/>
              <w:right w:val="single" w:sz="8" w:space="0" w:color="000000"/>
            </w:tcBorders>
            <w:vAlign w:val="center"/>
          </w:tcPr>
          <w:p w14:paraId="45FE9FF6" w14:textId="77777777" w:rsidR="00963AB6" w:rsidRPr="0033055B" w:rsidRDefault="00963AB6" w:rsidP="003E6550">
            <w:pPr>
              <w:jc w:val="center"/>
              <w:rPr>
                <w:rFonts w:cstheme="minorHAnsi"/>
                <w:lang w:val="en-GB"/>
              </w:rPr>
            </w:pPr>
          </w:p>
        </w:tc>
        <w:tc>
          <w:tcPr>
            <w:tcW w:w="1002" w:type="dxa"/>
            <w:tcBorders>
              <w:top w:val="single" w:sz="4" w:space="0" w:color="000000"/>
              <w:left w:val="single" w:sz="8" w:space="0" w:color="000000"/>
              <w:bottom w:val="single" w:sz="8" w:space="0" w:color="000000"/>
              <w:right w:val="single" w:sz="8" w:space="0" w:color="000000"/>
            </w:tcBorders>
            <w:vAlign w:val="center"/>
          </w:tcPr>
          <w:p w14:paraId="544B884B" w14:textId="77777777" w:rsidR="00963AB6" w:rsidRPr="0033055B" w:rsidRDefault="00963AB6" w:rsidP="003E6550">
            <w:pPr>
              <w:jc w:val="center"/>
              <w:rPr>
                <w:rFonts w:cstheme="minorHAnsi"/>
                <w:lang w:val="en-GB"/>
              </w:rPr>
            </w:pPr>
          </w:p>
        </w:tc>
        <w:tc>
          <w:tcPr>
            <w:tcW w:w="1001" w:type="dxa"/>
            <w:tcBorders>
              <w:top w:val="single" w:sz="4" w:space="0" w:color="000000"/>
              <w:left w:val="single" w:sz="8" w:space="0" w:color="000000"/>
              <w:bottom w:val="single" w:sz="8" w:space="0" w:color="000000"/>
              <w:right w:val="single" w:sz="8" w:space="0" w:color="000000"/>
            </w:tcBorders>
            <w:vAlign w:val="center"/>
          </w:tcPr>
          <w:p w14:paraId="70B87C9C" w14:textId="77777777" w:rsidR="00963AB6" w:rsidRPr="0033055B" w:rsidRDefault="00963AB6" w:rsidP="003E6550">
            <w:pPr>
              <w:jc w:val="center"/>
              <w:rPr>
                <w:rFonts w:cstheme="minorHAnsi"/>
                <w:lang w:val="en-GB"/>
              </w:rPr>
            </w:pPr>
          </w:p>
        </w:tc>
        <w:tc>
          <w:tcPr>
            <w:tcW w:w="1002" w:type="dxa"/>
            <w:tcBorders>
              <w:top w:val="single" w:sz="4" w:space="0" w:color="000000"/>
              <w:left w:val="single" w:sz="8" w:space="0" w:color="000000"/>
              <w:bottom w:val="single" w:sz="8" w:space="0" w:color="000000"/>
              <w:right w:val="single" w:sz="8" w:space="0" w:color="000000"/>
            </w:tcBorders>
            <w:vAlign w:val="center"/>
          </w:tcPr>
          <w:p w14:paraId="709164EE" w14:textId="77777777" w:rsidR="00963AB6" w:rsidRPr="0033055B" w:rsidRDefault="00963AB6" w:rsidP="003E6550">
            <w:pPr>
              <w:jc w:val="center"/>
              <w:rPr>
                <w:rFonts w:cstheme="minorHAnsi"/>
                <w:lang w:val="en-GB"/>
              </w:rPr>
            </w:pPr>
          </w:p>
        </w:tc>
      </w:tr>
      <w:tr w:rsidR="00963AB6" w:rsidRPr="0033055B" w14:paraId="3B7507E5" w14:textId="77777777" w:rsidTr="003E6550">
        <w:trPr>
          <w:gridAfter w:val="1"/>
          <w:wAfter w:w="6" w:type="dxa"/>
          <w:trHeight w:val="247"/>
          <w:jc w:val="center"/>
        </w:trPr>
        <w:tc>
          <w:tcPr>
            <w:tcW w:w="2114" w:type="dxa"/>
            <w:tcBorders>
              <w:top w:val="single" w:sz="8" w:space="0" w:color="000000"/>
              <w:left w:val="single" w:sz="8" w:space="0" w:color="000000"/>
              <w:bottom w:val="single" w:sz="8" w:space="0" w:color="000000"/>
              <w:right w:val="single" w:sz="8" w:space="0" w:color="000000"/>
            </w:tcBorders>
          </w:tcPr>
          <w:p w14:paraId="075F704A" w14:textId="77777777" w:rsidR="00963AB6" w:rsidRPr="0033055B" w:rsidRDefault="00963AB6" w:rsidP="003E6550">
            <w:pPr>
              <w:jc w:val="center"/>
              <w:rPr>
                <w:rFonts w:cstheme="minorHAnsi"/>
              </w:rPr>
            </w:pPr>
            <w:r>
              <w:t>Biomasa:</w:t>
            </w:r>
          </w:p>
        </w:tc>
        <w:tc>
          <w:tcPr>
            <w:tcW w:w="1000" w:type="dxa"/>
            <w:tcBorders>
              <w:top w:val="single" w:sz="8" w:space="0" w:color="000000"/>
              <w:left w:val="single" w:sz="8" w:space="0" w:color="000000"/>
              <w:bottom w:val="single" w:sz="8" w:space="0" w:color="000000"/>
              <w:right w:val="single" w:sz="8" w:space="0" w:color="000000"/>
            </w:tcBorders>
            <w:vAlign w:val="center"/>
          </w:tcPr>
          <w:p w14:paraId="7363703E" w14:textId="77777777" w:rsidR="00963AB6" w:rsidRPr="0033055B" w:rsidRDefault="00963AB6" w:rsidP="003E6550">
            <w:pPr>
              <w:jc w:val="center"/>
              <w:rPr>
                <w:rFonts w:cstheme="minorHAnsi"/>
                <w:lang w:val="en-GB"/>
              </w:rPr>
            </w:pPr>
          </w:p>
        </w:tc>
        <w:tc>
          <w:tcPr>
            <w:tcW w:w="1001" w:type="dxa"/>
            <w:tcBorders>
              <w:top w:val="single" w:sz="8" w:space="0" w:color="000000"/>
              <w:left w:val="single" w:sz="8" w:space="0" w:color="000000"/>
              <w:bottom w:val="single" w:sz="8" w:space="0" w:color="000000"/>
              <w:right w:val="single" w:sz="8" w:space="0" w:color="000000"/>
            </w:tcBorders>
            <w:vAlign w:val="center"/>
          </w:tcPr>
          <w:p w14:paraId="48D5DE8D" w14:textId="77777777" w:rsidR="00963AB6" w:rsidRPr="0033055B" w:rsidRDefault="00963AB6" w:rsidP="003E6550">
            <w:pPr>
              <w:jc w:val="center"/>
              <w:rPr>
                <w:rFonts w:cstheme="minorHAnsi"/>
                <w:lang w:val="en-GB"/>
              </w:rPr>
            </w:pPr>
          </w:p>
        </w:tc>
        <w:tc>
          <w:tcPr>
            <w:tcW w:w="1000" w:type="dxa"/>
            <w:tcBorders>
              <w:top w:val="single" w:sz="8" w:space="0" w:color="000000"/>
              <w:left w:val="single" w:sz="8" w:space="0" w:color="000000"/>
              <w:bottom w:val="single" w:sz="8" w:space="0" w:color="000000"/>
              <w:right w:val="single" w:sz="8" w:space="0" w:color="000000"/>
            </w:tcBorders>
            <w:vAlign w:val="center"/>
          </w:tcPr>
          <w:p w14:paraId="4FC7B3F1" w14:textId="77777777" w:rsidR="00963AB6" w:rsidRPr="0033055B" w:rsidRDefault="00963AB6" w:rsidP="003E6550">
            <w:pPr>
              <w:jc w:val="center"/>
              <w:rPr>
                <w:rFonts w:cstheme="minorHAnsi"/>
                <w:lang w:val="en-GB"/>
              </w:rPr>
            </w:pPr>
          </w:p>
        </w:tc>
        <w:tc>
          <w:tcPr>
            <w:tcW w:w="1003" w:type="dxa"/>
            <w:tcBorders>
              <w:top w:val="single" w:sz="8" w:space="0" w:color="000000"/>
              <w:left w:val="single" w:sz="8" w:space="0" w:color="000000"/>
              <w:bottom w:val="single" w:sz="8" w:space="0" w:color="000000"/>
              <w:right w:val="single" w:sz="8" w:space="0" w:color="000000"/>
            </w:tcBorders>
            <w:vAlign w:val="center"/>
          </w:tcPr>
          <w:p w14:paraId="3B4F13E5" w14:textId="77777777" w:rsidR="00963AB6" w:rsidRPr="0033055B" w:rsidRDefault="00963AB6" w:rsidP="003E6550">
            <w:pPr>
              <w:jc w:val="center"/>
              <w:rPr>
                <w:rFonts w:cstheme="minorHAnsi"/>
                <w:lang w:val="en-GB"/>
              </w:rPr>
            </w:pPr>
          </w:p>
        </w:tc>
        <w:tc>
          <w:tcPr>
            <w:tcW w:w="1001" w:type="dxa"/>
            <w:tcBorders>
              <w:top w:val="single" w:sz="8" w:space="0" w:color="000000"/>
              <w:left w:val="single" w:sz="8" w:space="0" w:color="000000"/>
              <w:bottom w:val="single" w:sz="8" w:space="0" w:color="000000"/>
              <w:right w:val="single" w:sz="8" w:space="0" w:color="000000"/>
            </w:tcBorders>
            <w:vAlign w:val="center"/>
          </w:tcPr>
          <w:p w14:paraId="63BB0EE2" w14:textId="77777777" w:rsidR="00963AB6" w:rsidRPr="0033055B" w:rsidRDefault="00963AB6" w:rsidP="003E6550">
            <w:pPr>
              <w:jc w:val="center"/>
              <w:rPr>
                <w:rFonts w:cstheme="minorHAnsi"/>
                <w:lang w:val="en-GB"/>
              </w:rPr>
            </w:pPr>
          </w:p>
        </w:tc>
        <w:tc>
          <w:tcPr>
            <w:tcW w:w="1002" w:type="dxa"/>
            <w:tcBorders>
              <w:top w:val="single" w:sz="8" w:space="0" w:color="000000"/>
              <w:left w:val="single" w:sz="8" w:space="0" w:color="000000"/>
              <w:bottom w:val="single" w:sz="8" w:space="0" w:color="000000"/>
              <w:right w:val="single" w:sz="8" w:space="0" w:color="000000"/>
            </w:tcBorders>
            <w:vAlign w:val="center"/>
          </w:tcPr>
          <w:p w14:paraId="1A36D403" w14:textId="77777777" w:rsidR="00963AB6" w:rsidRPr="0033055B" w:rsidRDefault="00963AB6" w:rsidP="003E6550">
            <w:pPr>
              <w:jc w:val="center"/>
              <w:rPr>
                <w:rFonts w:cstheme="minorHAnsi"/>
                <w:lang w:val="en-GB"/>
              </w:rPr>
            </w:pPr>
          </w:p>
        </w:tc>
        <w:tc>
          <w:tcPr>
            <w:tcW w:w="1001" w:type="dxa"/>
            <w:tcBorders>
              <w:top w:val="single" w:sz="8" w:space="0" w:color="000000"/>
              <w:left w:val="single" w:sz="8" w:space="0" w:color="000000"/>
              <w:bottom w:val="single" w:sz="8" w:space="0" w:color="000000"/>
              <w:right w:val="single" w:sz="8" w:space="0" w:color="000000"/>
            </w:tcBorders>
            <w:vAlign w:val="center"/>
          </w:tcPr>
          <w:p w14:paraId="44703DBF" w14:textId="77777777" w:rsidR="00963AB6" w:rsidRPr="0033055B" w:rsidRDefault="00963AB6" w:rsidP="003E6550">
            <w:pPr>
              <w:jc w:val="center"/>
              <w:rPr>
                <w:rFonts w:cstheme="minorHAnsi"/>
                <w:lang w:val="en-GB"/>
              </w:rPr>
            </w:pPr>
          </w:p>
        </w:tc>
        <w:tc>
          <w:tcPr>
            <w:tcW w:w="1003" w:type="dxa"/>
            <w:tcBorders>
              <w:top w:val="single" w:sz="8" w:space="0" w:color="000000"/>
              <w:left w:val="single" w:sz="8" w:space="0" w:color="000000"/>
              <w:bottom w:val="single" w:sz="8" w:space="0" w:color="000000"/>
              <w:right w:val="single" w:sz="8" w:space="0" w:color="000000"/>
            </w:tcBorders>
            <w:vAlign w:val="center"/>
          </w:tcPr>
          <w:p w14:paraId="20FDAD3E" w14:textId="77777777" w:rsidR="00963AB6" w:rsidRPr="0033055B" w:rsidRDefault="00963AB6" w:rsidP="003E6550">
            <w:pPr>
              <w:jc w:val="center"/>
              <w:rPr>
                <w:rFonts w:cstheme="minorHAnsi"/>
                <w:lang w:val="en-GB"/>
              </w:rPr>
            </w:pPr>
          </w:p>
        </w:tc>
        <w:tc>
          <w:tcPr>
            <w:tcW w:w="1001" w:type="dxa"/>
            <w:tcBorders>
              <w:top w:val="single" w:sz="8" w:space="0" w:color="000000"/>
              <w:left w:val="single" w:sz="8" w:space="0" w:color="000000"/>
              <w:bottom w:val="single" w:sz="8" w:space="0" w:color="000000"/>
              <w:right w:val="single" w:sz="8" w:space="0" w:color="000000"/>
            </w:tcBorders>
            <w:vAlign w:val="center"/>
          </w:tcPr>
          <w:p w14:paraId="3EEBE9BB" w14:textId="77777777" w:rsidR="00963AB6" w:rsidRPr="0033055B" w:rsidRDefault="00963AB6" w:rsidP="003E6550">
            <w:pPr>
              <w:jc w:val="center"/>
              <w:rPr>
                <w:rFonts w:cstheme="minorHAnsi"/>
                <w:lang w:val="en-GB"/>
              </w:rPr>
            </w:pPr>
          </w:p>
        </w:tc>
        <w:tc>
          <w:tcPr>
            <w:tcW w:w="1002" w:type="dxa"/>
            <w:tcBorders>
              <w:top w:val="single" w:sz="8" w:space="0" w:color="000000"/>
              <w:left w:val="single" w:sz="8" w:space="0" w:color="000000"/>
              <w:bottom w:val="single" w:sz="8" w:space="0" w:color="000000"/>
              <w:right w:val="single" w:sz="8" w:space="0" w:color="000000"/>
            </w:tcBorders>
            <w:vAlign w:val="center"/>
          </w:tcPr>
          <w:p w14:paraId="7B728C56" w14:textId="77777777" w:rsidR="00963AB6" w:rsidRPr="0033055B" w:rsidRDefault="00963AB6" w:rsidP="003E6550">
            <w:pPr>
              <w:jc w:val="center"/>
              <w:rPr>
                <w:rFonts w:cstheme="minorHAnsi"/>
                <w:lang w:val="en-GB"/>
              </w:rPr>
            </w:pPr>
          </w:p>
        </w:tc>
        <w:tc>
          <w:tcPr>
            <w:tcW w:w="1001" w:type="dxa"/>
            <w:tcBorders>
              <w:top w:val="single" w:sz="8" w:space="0" w:color="000000"/>
              <w:left w:val="single" w:sz="8" w:space="0" w:color="000000"/>
              <w:bottom w:val="single" w:sz="8" w:space="0" w:color="000000"/>
              <w:right w:val="single" w:sz="8" w:space="0" w:color="000000"/>
            </w:tcBorders>
            <w:vAlign w:val="center"/>
          </w:tcPr>
          <w:p w14:paraId="747EC489" w14:textId="77777777" w:rsidR="00963AB6" w:rsidRPr="0033055B" w:rsidRDefault="00963AB6" w:rsidP="003E6550">
            <w:pPr>
              <w:jc w:val="center"/>
              <w:rPr>
                <w:rFonts w:cstheme="minorHAnsi"/>
                <w:lang w:val="en-GB"/>
              </w:rPr>
            </w:pPr>
          </w:p>
        </w:tc>
        <w:tc>
          <w:tcPr>
            <w:tcW w:w="1002" w:type="dxa"/>
            <w:tcBorders>
              <w:top w:val="single" w:sz="8" w:space="0" w:color="000000"/>
              <w:left w:val="single" w:sz="8" w:space="0" w:color="000000"/>
              <w:bottom w:val="single" w:sz="8" w:space="0" w:color="000000"/>
              <w:right w:val="single" w:sz="8" w:space="0" w:color="000000"/>
            </w:tcBorders>
            <w:vAlign w:val="center"/>
          </w:tcPr>
          <w:p w14:paraId="3E46C15E" w14:textId="77777777" w:rsidR="00963AB6" w:rsidRPr="0033055B" w:rsidRDefault="00963AB6" w:rsidP="003E6550">
            <w:pPr>
              <w:jc w:val="center"/>
              <w:rPr>
                <w:rFonts w:cstheme="minorHAnsi"/>
                <w:lang w:val="en-GB"/>
              </w:rPr>
            </w:pPr>
          </w:p>
        </w:tc>
      </w:tr>
      <w:tr w:rsidR="00963AB6" w:rsidRPr="0033055B" w14:paraId="662080DF" w14:textId="77777777" w:rsidTr="003E6550">
        <w:trPr>
          <w:gridAfter w:val="1"/>
          <w:wAfter w:w="6" w:type="dxa"/>
          <w:trHeight w:val="470"/>
          <w:jc w:val="center"/>
        </w:trPr>
        <w:tc>
          <w:tcPr>
            <w:tcW w:w="2114" w:type="dxa"/>
            <w:tcBorders>
              <w:top w:val="single" w:sz="8" w:space="0" w:color="000000"/>
              <w:left w:val="single" w:sz="8" w:space="0" w:color="000000"/>
              <w:bottom w:val="single" w:sz="4" w:space="0" w:color="000000"/>
              <w:right w:val="single" w:sz="8" w:space="0" w:color="000000"/>
            </w:tcBorders>
            <w:vAlign w:val="center"/>
          </w:tcPr>
          <w:p w14:paraId="13BCA061" w14:textId="77777777" w:rsidR="00963AB6" w:rsidRPr="0033055B" w:rsidRDefault="00963AB6" w:rsidP="003E6550">
            <w:pPr>
              <w:ind w:left="140"/>
              <w:jc w:val="center"/>
              <w:rPr>
                <w:rFonts w:cstheme="minorHAnsi"/>
              </w:rPr>
            </w:pPr>
            <w:r>
              <w:rPr>
                <w:i/>
              </w:rPr>
              <w:t>ngurtë</w:t>
            </w:r>
          </w:p>
        </w:tc>
        <w:tc>
          <w:tcPr>
            <w:tcW w:w="1000" w:type="dxa"/>
            <w:tcBorders>
              <w:top w:val="single" w:sz="8" w:space="0" w:color="000000"/>
              <w:left w:val="single" w:sz="8" w:space="0" w:color="000000"/>
              <w:bottom w:val="single" w:sz="4" w:space="0" w:color="000000"/>
              <w:right w:val="single" w:sz="8" w:space="0" w:color="000000"/>
            </w:tcBorders>
            <w:vAlign w:val="center"/>
          </w:tcPr>
          <w:p w14:paraId="466167F4" w14:textId="77777777" w:rsidR="00963AB6" w:rsidRPr="0033055B" w:rsidRDefault="00963AB6" w:rsidP="003E6550">
            <w:pPr>
              <w:jc w:val="center"/>
              <w:rPr>
                <w:rFonts w:cstheme="minorHAnsi"/>
                <w:lang w:val="en-GB"/>
              </w:rPr>
            </w:pPr>
          </w:p>
        </w:tc>
        <w:tc>
          <w:tcPr>
            <w:tcW w:w="1001" w:type="dxa"/>
            <w:tcBorders>
              <w:top w:val="single" w:sz="8" w:space="0" w:color="000000"/>
              <w:left w:val="single" w:sz="8" w:space="0" w:color="000000"/>
              <w:bottom w:val="single" w:sz="4" w:space="0" w:color="000000"/>
              <w:right w:val="single" w:sz="8" w:space="0" w:color="000000"/>
            </w:tcBorders>
            <w:vAlign w:val="center"/>
          </w:tcPr>
          <w:p w14:paraId="21DDD6C1" w14:textId="77777777" w:rsidR="00963AB6" w:rsidRPr="0033055B" w:rsidRDefault="00963AB6" w:rsidP="003E6550">
            <w:pPr>
              <w:jc w:val="center"/>
              <w:rPr>
                <w:rFonts w:cstheme="minorHAnsi"/>
                <w:lang w:val="en-GB"/>
              </w:rPr>
            </w:pPr>
          </w:p>
        </w:tc>
        <w:tc>
          <w:tcPr>
            <w:tcW w:w="1000" w:type="dxa"/>
            <w:tcBorders>
              <w:top w:val="single" w:sz="8" w:space="0" w:color="000000"/>
              <w:left w:val="single" w:sz="8" w:space="0" w:color="000000"/>
              <w:bottom w:val="single" w:sz="4" w:space="0" w:color="000000"/>
              <w:right w:val="single" w:sz="8" w:space="0" w:color="000000"/>
            </w:tcBorders>
            <w:vAlign w:val="center"/>
          </w:tcPr>
          <w:p w14:paraId="56847F28" w14:textId="77777777" w:rsidR="00963AB6" w:rsidRPr="0033055B" w:rsidRDefault="00963AB6" w:rsidP="003E6550">
            <w:pPr>
              <w:jc w:val="center"/>
              <w:rPr>
                <w:rFonts w:cstheme="minorHAnsi"/>
                <w:lang w:val="en-GB"/>
              </w:rPr>
            </w:pPr>
          </w:p>
        </w:tc>
        <w:tc>
          <w:tcPr>
            <w:tcW w:w="1003" w:type="dxa"/>
            <w:tcBorders>
              <w:top w:val="single" w:sz="8" w:space="0" w:color="000000"/>
              <w:left w:val="single" w:sz="8" w:space="0" w:color="000000"/>
              <w:bottom w:val="single" w:sz="4" w:space="0" w:color="000000"/>
              <w:right w:val="single" w:sz="8" w:space="0" w:color="000000"/>
            </w:tcBorders>
            <w:vAlign w:val="center"/>
          </w:tcPr>
          <w:p w14:paraId="340F0197" w14:textId="77777777" w:rsidR="00963AB6" w:rsidRPr="0033055B" w:rsidRDefault="00963AB6" w:rsidP="003E6550">
            <w:pPr>
              <w:jc w:val="center"/>
              <w:rPr>
                <w:rFonts w:cstheme="minorHAnsi"/>
                <w:lang w:val="en-GB"/>
              </w:rPr>
            </w:pPr>
          </w:p>
        </w:tc>
        <w:tc>
          <w:tcPr>
            <w:tcW w:w="1001" w:type="dxa"/>
            <w:tcBorders>
              <w:top w:val="single" w:sz="8" w:space="0" w:color="000000"/>
              <w:left w:val="single" w:sz="8" w:space="0" w:color="000000"/>
              <w:bottom w:val="single" w:sz="4" w:space="0" w:color="000000"/>
              <w:right w:val="single" w:sz="8" w:space="0" w:color="000000"/>
            </w:tcBorders>
            <w:vAlign w:val="center"/>
          </w:tcPr>
          <w:p w14:paraId="3EBCD273" w14:textId="77777777" w:rsidR="00963AB6" w:rsidRPr="0033055B" w:rsidRDefault="00963AB6" w:rsidP="003E6550">
            <w:pPr>
              <w:jc w:val="center"/>
              <w:rPr>
                <w:rFonts w:cstheme="minorHAnsi"/>
                <w:lang w:val="en-GB"/>
              </w:rPr>
            </w:pPr>
          </w:p>
        </w:tc>
        <w:tc>
          <w:tcPr>
            <w:tcW w:w="1002" w:type="dxa"/>
            <w:tcBorders>
              <w:top w:val="single" w:sz="8" w:space="0" w:color="000000"/>
              <w:left w:val="single" w:sz="8" w:space="0" w:color="000000"/>
              <w:bottom w:val="single" w:sz="4" w:space="0" w:color="000000"/>
              <w:right w:val="single" w:sz="8" w:space="0" w:color="000000"/>
            </w:tcBorders>
            <w:vAlign w:val="center"/>
          </w:tcPr>
          <w:p w14:paraId="6CE26263" w14:textId="77777777" w:rsidR="00963AB6" w:rsidRPr="0033055B" w:rsidRDefault="00963AB6" w:rsidP="003E6550">
            <w:pPr>
              <w:jc w:val="center"/>
              <w:rPr>
                <w:rFonts w:cstheme="minorHAnsi"/>
                <w:lang w:val="en-GB"/>
              </w:rPr>
            </w:pPr>
          </w:p>
        </w:tc>
        <w:tc>
          <w:tcPr>
            <w:tcW w:w="1001" w:type="dxa"/>
            <w:tcBorders>
              <w:top w:val="single" w:sz="8" w:space="0" w:color="000000"/>
              <w:left w:val="single" w:sz="8" w:space="0" w:color="000000"/>
              <w:bottom w:val="single" w:sz="4" w:space="0" w:color="000000"/>
              <w:right w:val="single" w:sz="8" w:space="0" w:color="000000"/>
            </w:tcBorders>
            <w:vAlign w:val="center"/>
          </w:tcPr>
          <w:p w14:paraId="43E55D49" w14:textId="77777777" w:rsidR="00963AB6" w:rsidRPr="0033055B" w:rsidRDefault="00963AB6" w:rsidP="003E6550">
            <w:pPr>
              <w:jc w:val="center"/>
              <w:rPr>
                <w:rFonts w:cstheme="minorHAnsi"/>
                <w:lang w:val="en-GB"/>
              </w:rPr>
            </w:pPr>
          </w:p>
        </w:tc>
        <w:tc>
          <w:tcPr>
            <w:tcW w:w="1003" w:type="dxa"/>
            <w:tcBorders>
              <w:top w:val="single" w:sz="8" w:space="0" w:color="000000"/>
              <w:left w:val="single" w:sz="8" w:space="0" w:color="000000"/>
              <w:bottom w:val="single" w:sz="4" w:space="0" w:color="000000"/>
              <w:right w:val="single" w:sz="8" w:space="0" w:color="000000"/>
            </w:tcBorders>
            <w:vAlign w:val="center"/>
          </w:tcPr>
          <w:p w14:paraId="513893F5" w14:textId="77777777" w:rsidR="00963AB6" w:rsidRPr="0033055B" w:rsidRDefault="00963AB6" w:rsidP="003E6550">
            <w:pPr>
              <w:jc w:val="center"/>
              <w:rPr>
                <w:rFonts w:cstheme="minorHAnsi"/>
                <w:lang w:val="en-GB"/>
              </w:rPr>
            </w:pPr>
          </w:p>
        </w:tc>
        <w:tc>
          <w:tcPr>
            <w:tcW w:w="1001" w:type="dxa"/>
            <w:tcBorders>
              <w:top w:val="single" w:sz="8" w:space="0" w:color="000000"/>
              <w:left w:val="single" w:sz="8" w:space="0" w:color="000000"/>
              <w:bottom w:val="single" w:sz="4" w:space="0" w:color="000000"/>
              <w:right w:val="single" w:sz="8" w:space="0" w:color="000000"/>
            </w:tcBorders>
            <w:vAlign w:val="center"/>
          </w:tcPr>
          <w:p w14:paraId="02910110" w14:textId="77777777" w:rsidR="00963AB6" w:rsidRPr="0033055B" w:rsidRDefault="00963AB6" w:rsidP="003E6550">
            <w:pPr>
              <w:jc w:val="center"/>
              <w:rPr>
                <w:rFonts w:cstheme="minorHAnsi"/>
                <w:lang w:val="en-GB"/>
              </w:rPr>
            </w:pPr>
          </w:p>
        </w:tc>
        <w:tc>
          <w:tcPr>
            <w:tcW w:w="1002" w:type="dxa"/>
            <w:tcBorders>
              <w:top w:val="single" w:sz="8" w:space="0" w:color="000000"/>
              <w:left w:val="single" w:sz="8" w:space="0" w:color="000000"/>
              <w:bottom w:val="single" w:sz="4" w:space="0" w:color="000000"/>
              <w:right w:val="single" w:sz="8" w:space="0" w:color="000000"/>
            </w:tcBorders>
            <w:vAlign w:val="center"/>
          </w:tcPr>
          <w:p w14:paraId="0FE27B3D" w14:textId="77777777" w:rsidR="00963AB6" w:rsidRPr="0033055B" w:rsidRDefault="00963AB6" w:rsidP="003E6550">
            <w:pPr>
              <w:jc w:val="center"/>
              <w:rPr>
                <w:rFonts w:cstheme="minorHAnsi"/>
                <w:lang w:val="en-GB"/>
              </w:rPr>
            </w:pPr>
          </w:p>
        </w:tc>
        <w:tc>
          <w:tcPr>
            <w:tcW w:w="1001" w:type="dxa"/>
            <w:tcBorders>
              <w:top w:val="single" w:sz="8" w:space="0" w:color="000000"/>
              <w:left w:val="single" w:sz="8" w:space="0" w:color="000000"/>
              <w:bottom w:val="single" w:sz="4" w:space="0" w:color="000000"/>
              <w:right w:val="single" w:sz="8" w:space="0" w:color="000000"/>
            </w:tcBorders>
            <w:vAlign w:val="center"/>
          </w:tcPr>
          <w:p w14:paraId="7E9E7E05" w14:textId="77777777" w:rsidR="00963AB6" w:rsidRPr="0033055B" w:rsidRDefault="00963AB6" w:rsidP="003E6550">
            <w:pPr>
              <w:jc w:val="center"/>
              <w:rPr>
                <w:rFonts w:cstheme="minorHAnsi"/>
                <w:lang w:val="en-GB"/>
              </w:rPr>
            </w:pPr>
          </w:p>
        </w:tc>
        <w:tc>
          <w:tcPr>
            <w:tcW w:w="1002" w:type="dxa"/>
            <w:tcBorders>
              <w:top w:val="single" w:sz="8" w:space="0" w:color="000000"/>
              <w:left w:val="single" w:sz="8" w:space="0" w:color="000000"/>
              <w:bottom w:val="single" w:sz="4" w:space="0" w:color="000000"/>
              <w:right w:val="single" w:sz="8" w:space="0" w:color="000000"/>
            </w:tcBorders>
            <w:vAlign w:val="center"/>
          </w:tcPr>
          <w:p w14:paraId="215572C4" w14:textId="77777777" w:rsidR="00963AB6" w:rsidRPr="0033055B" w:rsidRDefault="00963AB6" w:rsidP="003E6550">
            <w:pPr>
              <w:ind w:left="220" w:right="266"/>
              <w:jc w:val="center"/>
              <w:rPr>
                <w:rFonts w:cstheme="minorHAnsi"/>
                <w:lang w:val="en-GB"/>
              </w:rPr>
            </w:pPr>
          </w:p>
        </w:tc>
      </w:tr>
      <w:tr w:rsidR="00963AB6" w:rsidRPr="0033055B" w14:paraId="54F1CF85" w14:textId="77777777" w:rsidTr="003E6550">
        <w:trPr>
          <w:gridAfter w:val="1"/>
          <w:wAfter w:w="6" w:type="dxa"/>
          <w:trHeight w:val="241"/>
          <w:jc w:val="center"/>
        </w:trPr>
        <w:tc>
          <w:tcPr>
            <w:tcW w:w="2114" w:type="dxa"/>
            <w:tcBorders>
              <w:top w:val="single" w:sz="4" w:space="0" w:color="000000"/>
              <w:left w:val="single" w:sz="8" w:space="0" w:color="000000"/>
              <w:bottom w:val="single" w:sz="8" w:space="0" w:color="000000"/>
              <w:right w:val="single" w:sz="8" w:space="0" w:color="000000"/>
            </w:tcBorders>
          </w:tcPr>
          <w:p w14:paraId="07FCE9A5" w14:textId="77777777" w:rsidR="00963AB6" w:rsidRPr="0033055B" w:rsidRDefault="00963AB6" w:rsidP="003E6550">
            <w:pPr>
              <w:ind w:left="140"/>
              <w:jc w:val="center"/>
              <w:rPr>
                <w:rFonts w:cstheme="minorHAnsi"/>
              </w:rPr>
            </w:pPr>
            <w:r>
              <w:rPr>
                <w:i/>
              </w:rPr>
              <w:t>biogaz</w:t>
            </w:r>
          </w:p>
        </w:tc>
        <w:tc>
          <w:tcPr>
            <w:tcW w:w="1000" w:type="dxa"/>
            <w:tcBorders>
              <w:top w:val="single" w:sz="4" w:space="0" w:color="000000"/>
              <w:left w:val="single" w:sz="8" w:space="0" w:color="000000"/>
              <w:bottom w:val="single" w:sz="8" w:space="0" w:color="000000"/>
              <w:right w:val="single" w:sz="8" w:space="0" w:color="000000"/>
            </w:tcBorders>
            <w:vAlign w:val="center"/>
          </w:tcPr>
          <w:p w14:paraId="0C9C115F" w14:textId="77777777" w:rsidR="00963AB6" w:rsidRPr="0033055B" w:rsidRDefault="00963AB6" w:rsidP="003E6550">
            <w:pPr>
              <w:jc w:val="center"/>
              <w:rPr>
                <w:rFonts w:cstheme="minorHAnsi"/>
                <w:lang w:val="en-GB"/>
              </w:rPr>
            </w:pPr>
          </w:p>
        </w:tc>
        <w:tc>
          <w:tcPr>
            <w:tcW w:w="1001" w:type="dxa"/>
            <w:tcBorders>
              <w:top w:val="single" w:sz="4" w:space="0" w:color="000000"/>
              <w:left w:val="single" w:sz="8" w:space="0" w:color="000000"/>
              <w:bottom w:val="single" w:sz="8" w:space="0" w:color="000000"/>
              <w:right w:val="single" w:sz="8" w:space="0" w:color="000000"/>
            </w:tcBorders>
            <w:vAlign w:val="center"/>
          </w:tcPr>
          <w:p w14:paraId="5A53265A" w14:textId="77777777" w:rsidR="00963AB6" w:rsidRPr="0033055B" w:rsidRDefault="00963AB6" w:rsidP="003E6550">
            <w:pPr>
              <w:jc w:val="center"/>
              <w:rPr>
                <w:rFonts w:cstheme="minorHAnsi"/>
                <w:lang w:val="en-GB"/>
              </w:rPr>
            </w:pPr>
          </w:p>
        </w:tc>
        <w:tc>
          <w:tcPr>
            <w:tcW w:w="1000" w:type="dxa"/>
            <w:tcBorders>
              <w:top w:val="single" w:sz="4" w:space="0" w:color="000000"/>
              <w:left w:val="single" w:sz="8" w:space="0" w:color="000000"/>
              <w:bottom w:val="single" w:sz="8" w:space="0" w:color="000000"/>
              <w:right w:val="single" w:sz="8" w:space="0" w:color="000000"/>
            </w:tcBorders>
            <w:vAlign w:val="center"/>
          </w:tcPr>
          <w:p w14:paraId="42F3376B" w14:textId="77777777" w:rsidR="00963AB6" w:rsidRPr="0033055B" w:rsidRDefault="00963AB6" w:rsidP="003E6550">
            <w:pPr>
              <w:jc w:val="center"/>
              <w:rPr>
                <w:rFonts w:cstheme="minorHAnsi"/>
                <w:lang w:val="en-GB"/>
              </w:rPr>
            </w:pPr>
          </w:p>
        </w:tc>
        <w:tc>
          <w:tcPr>
            <w:tcW w:w="1003" w:type="dxa"/>
            <w:tcBorders>
              <w:top w:val="single" w:sz="4" w:space="0" w:color="000000"/>
              <w:left w:val="single" w:sz="8" w:space="0" w:color="000000"/>
              <w:bottom w:val="single" w:sz="8" w:space="0" w:color="000000"/>
              <w:right w:val="single" w:sz="8" w:space="0" w:color="000000"/>
            </w:tcBorders>
            <w:vAlign w:val="center"/>
          </w:tcPr>
          <w:p w14:paraId="07A1CCDB" w14:textId="77777777" w:rsidR="00963AB6" w:rsidRPr="0033055B" w:rsidRDefault="00963AB6" w:rsidP="003E6550">
            <w:pPr>
              <w:jc w:val="center"/>
              <w:rPr>
                <w:rFonts w:cstheme="minorHAnsi"/>
                <w:lang w:val="en-GB"/>
              </w:rPr>
            </w:pPr>
          </w:p>
        </w:tc>
        <w:tc>
          <w:tcPr>
            <w:tcW w:w="1001" w:type="dxa"/>
            <w:tcBorders>
              <w:top w:val="single" w:sz="4" w:space="0" w:color="000000"/>
              <w:left w:val="single" w:sz="8" w:space="0" w:color="000000"/>
              <w:bottom w:val="single" w:sz="8" w:space="0" w:color="000000"/>
              <w:right w:val="single" w:sz="8" w:space="0" w:color="000000"/>
            </w:tcBorders>
            <w:vAlign w:val="center"/>
          </w:tcPr>
          <w:p w14:paraId="653C9DE3" w14:textId="77777777" w:rsidR="00963AB6" w:rsidRPr="0033055B" w:rsidRDefault="00963AB6" w:rsidP="003E6550">
            <w:pPr>
              <w:jc w:val="center"/>
              <w:rPr>
                <w:rFonts w:cstheme="minorHAnsi"/>
                <w:lang w:val="en-GB"/>
              </w:rPr>
            </w:pPr>
          </w:p>
        </w:tc>
        <w:tc>
          <w:tcPr>
            <w:tcW w:w="1002" w:type="dxa"/>
            <w:tcBorders>
              <w:top w:val="single" w:sz="4" w:space="0" w:color="000000"/>
              <w:left w:val="single" w:sz="8" w:space="0" w:color="000000"/>
              <w:bottom w:val="single" w:sz="8" w:space="0" w:color="000000"/>
              <w:right w:val="single" w:sz="8" w:space="0" w:color="000000"/>
            </w:tcBorders>
            <w:vAlign w:val="center"/>
          </w:tcPr>
          <w:p w14:paraId="6181ED5F" w14:textId="77777777" w:rsidR="00963AB6" w:rsidRPr="0033055B" w:rsidRDefault="00963AB6" w:rsidP="003E6550">
            <w:pPr>
              <w:jc w:val="center"/>
              <w:rPr>
                <w:rFonts w:cstheme="minorHAnsi"/>
                <w:lang w:val="en-GB"/>
              </w:rPr>
            </w:pPr>
          </w:p>
        </w:tc>
        <w:tc>
          <w:tcPr>
            <w:tcW w:w="1001" w:type="dxa"/>
            <w:tcBorders>
              <w:top w:val="single" w:sz="4" w:space="0" w:color="000000"/>
              <w:left w:val="single" w:sz="8" w:space="0" w:color="000000"/>
              <w:bottom w:val="single" w:sz="8" w:space="0" w:color="000000"/>
              <w:right w:val="single" w:sz="8" w:space="0" w:color="000000"/>
            </w:tcBorders>
            <w:vAlign w:val="center"/>
          </w:tcPr>
          <w:p w14:paraId="507C4288" w14:textId="77777777" w:rsidR="00963AB6" w:rsidRPr="0033055B" w:rsidRDefault="00963AB6" w:rsidP="003E6550">
            <w:pPr>
              <w:jc w:val="center"/>
              <w:rPr>
                <w:rFonts w:cstheme="minorHAnsi"/>
                <w:lang w:val="en-GB"/>
              </w:rPr>
            </w:pPr>
          </w:p>
        </w:tc>
        <w:tc>
          <w:tcPr>
            <w:tcW w:w="1003" w:type="dxa"/>
            <w:tcBorders>
              <w:top w:val="single" w:sz="4" w:space="0" w:color="000000"/>
              <w:left w:val="single" w:sz="8" w:space="0" w:color="000000"/>
              <w:bottom w:val="single" w:sz="8" w:space="0" w:color="000000"/>
              <w:right w:val="single" w:sz="8" w:space="0" w:color="000000"/>
            </w:tcBorders>
            <w:vAlign w:val="center"/>
          </w:tcPr>
          <w:p w14:paraId="4A114042" w14:textId="77777777" w:rsidR="00963AB6" w:rsidRPr="0033055B" w:rsidRDefault="00963AB6" w:rsidP="003E6550">
            <w:pPr>
              <w:jc w:val="center"/>
              <w:rPr>
                <w:rFonts w:cstheme="minorHAnsi"/>
                <w:lang w:val="en-GB"/>
              </w:rPr>
            </w:pPr>
          </w:p>
        </w:tc>
        <w:tc>
          <w:tcPr>
            <w:tcW w:w="1001" w:type="dxa"/>
            <w:tcBorders>
              <w:top w:val="single" w:sz="4" w:space="0" w:color="000000"/>
              <w:left w:val="single" w:sz="8" w:space="0" w:color="000000"/>
              <w:bottom w:val="single" w:sz="8" w:space="0" w:color="000000"/>
              <w:right w:val="single" w:sz="8" w:space="0" w:color="000000"/>
            </w:tcBorders>
            <w:vAlign w:val="center"/>
          </w:tcPr>
          <w:p w14:paraId="12DB108D" w14:textId="77777777" w:rsidR="00963AB6" w:rsidRPr="0033055B" w:rsidRDefault="00963AB6" w:rsidP="003E6550">
            <w:pPr>
              <w:jc w:val="center"/>
              <w:rPr>
                <w:rFonts w:cstheme="minorHAnsi"/>
                <w:lang w:val="en-GB"/>
              </w:rPr>
            </w:pPr>
          </w:p>
        </w:tc>
        <w:tc>
          <w:tcPr>
            <w:tcW w:w="1002" w:type="dxa"/>
            <w:tcBorders>
              <w:top w:val="single" w:sz="4" w:space="0" w:color="000000"/>
              <w:left w:val="single" w:sz="8" w:space="0" w:color="000000"/>
              <w:bottom w:val="single" w:sz="8" w:space="0" w:color="000000"/>
              <w:right w:val="single" w:sz="8" w:space="0" w:color="000000"/>
            </w:tcBorders>
            <w:vAlign w:val="center"/>
          </w:tcPr>
          <w:p w14:paraId="7916AC43" w14:textId="77777777" w:rsidR="00963AB6" w:rsidRPr="0033055B" w:rsidRDefault="00963AB6" w:rsidP="003E6550">
            <w:pPr>
              <w:jc w:val="center"/>
              <w:rPr>
                <w:rFonts w:cstheme="minorHAnsi"/>
                <w:lang w:val="en-GB"/>
              </w:rPr>
            </w:pPr>
          </w:p>
        </w:tc>
        <w:tc>
          <w:tcPr>
            <w:tcW w:w="1001" w:type="dxa"/>
            <w:tcBorders>
              <w:top w:val="single" w:sz="4" w:space="0" w:color="000000"/>
              <w:left w:val="single" w:sz="8" w:space="0" w:color="000000"/>
              <w:bottom w:val="single" w:sz="8" w:space="0" w:color="000000"/>
              <w:right w:val="single" w:sz="8" w:space="0" w:color="000000"/>
            </w:tcBorders>
            <w:vAlign w:val="center"/>
          </w:tcPr>
          <w:p w14:paraId="75DB8BA2" w14:textId="77777777" w:rsidR="00963AB6" w:rsidRPr="0033055B" w:rsidRDefault="00963AB6" w:rsidP="003E6550">
            <w:pPr>
              <w:jc w:val="center"/>
              <w:rPr>
                <w:rFonts w:cstheme="minorHAnsi"/>
                <w:lang w:val="en-GB"/>
              </w:rPr>
            </w:pPr>
          </w:p>
        </w:tc>
        <w:tc>
          <w:tcPr>
            <w:tcW w:w="1002" w:type="dxa"/>
            <w:tcBorders>
              <w:top w:val="single" w:sz="4" w:space="0" w:color="000000"/>
              <w:left w:val="single" w:sz="8" w:space="0" w:color="000000"/>
              <w:bottom w:val="single" w:sz="8" w:space="0" w:color="000000"/>
              <w:right w:val="single" w:sz="8" w:space="0" w:color="000000"/>
            </w:tcBorders>
            <w:vAlign w:val="center"/>
          </w:tcPr>
          <w:p w14:paraId="0288CB74" w14:textId="77777777" w:rsidR="00963AB6" w:rsidRPr="0033055B" w:rsidRDefault="00963AB6" w:rsidP="003E6550">
            <w:pPr>
              <w:jc w:val="center"/>
              <w:rPr>
                <w:rFonts w:cstheme="minorHAnsi"/>
                <w:lang w:val="en-GB"/>
              </w:rPr>
            </w:pPr>
          </w:p>
        </w:tc>
      </w:tr>
      <w:tr w:rsidR="00963AB6" w:rsidRPr="0033055B" w14:paraId="6844A1FF" w14:textId="77777777" w:rsidTr="003E6550">
        <w:trPr>
          <w:gridAfter w:val="1"/>
          <w:wAfter w:w="6" w:type="dxa"/>
          <w:trHeight w:val="247"/>
          <w:jc w:val="center"/>
        </w:trPr>
        <w:tc>
          <w:tcPr>
            <w:tcW w:w="2114" w:type="dxa"/>
            <w:tcBorders>
              <w:top w:val="single" w:sz="8" w:space="0" w:color="000000"/>
              <w:left w:val="single" w:sz="8" w:space="0" w:color="000000"/>
              <w:bottom w:val="single" w:sz="8" w:space="0" w:color="000000"/>
              <w:right w:val="single" w:sz="8" w:space="0" w:color="000000"/>
            </w:tcBorders>
          </w:tcPr>
          <w:p w14:paraId="5BB30BDE" w14:textId="77777777" w:rsidR="00963AB6" w:rsidRPr="0033055B" w:rsidRDefault="00963AB6" w:rsidP="003E6550">
            <w:pPr>
              <w:ind w:left="140"/>
              <w:jc w:val="center"/>
              <w:rPr>
                <w:rFonts w:cstheme="minorHAnsi"/>
              </w:rPr>
            </w:pPr>
            <w:r>
              <w:rPr>
                <w:i/>
                <w:u w:val="single" w:color="000000"/>
              </w:rPr>
              <w:t>biol-lëngje</w:t>
            </w:r>
            <w:r w:rsidR="003E6550" w:rsidRPr="0033055B">
              <w:rPr>
                <w:rStyle w:val="FootnoteReference"/>
                <w:rFonts w:cstheme="minorHAnsi"/>
                <w:i/>
                <w:u w:val="single" w:color="000000"/>
                <w:lang w:val="en-GB"/>
              </w:rPr>
              <w:footnoteReference w:id="24"/>
            </w:r>
          </w:p>
        </w:tc>
        <w:tc>
          <w:tcPr>
            <w:tcW w:w="1000" w:type="dxa"/>
            <w:tcBorders>
              <w:top w:val="single" w:sz="8" w:space="0" w:color="000000"/>
              <w:left w:val="single" w:sz="8" w:space="0" w:color="000000"/>
              <w:bottom w:val="single" w:sz="8" w:space="0" w:color="000000"/>
              <w:right w:val="single" w:sz="8" w:space="0" w:color="000000"/>
            </w:tcBorders>
            <w:vAlign w:val="center"/>
          </w:tcPr>
          <w:p w14:paraId="7EDB195D" w14:textId="77777777" w:rsidR="00963AB6" w:rsidRPr="0033055B" w:rsidRDefault="00963AB6" w:rsidP="003E6550">
            <w:pPr>
              <w:jc w:val="center"/>
              <w:rPr>
                <w:rFonts w:cstheme="minorHAnsi"/>
                <w:lang w:val="en-GB"/>
              </w:rPr>
            </w:pPr>
          </w:p>
        </w:tc>
        <w:tc>
          <w:tcPr>
            <w:tcW w:w="1001" w:type="dxa"/>
            <w:tcBorders>
              <w:top w:val="single" w:sz="8" w:space="0" w:color="000000"/>
              <w:left w:val="single" w:sz="8" w:space="0" w:color="000000"/>
              <w:bottom w:val="single" w:sz="8" w:space="0" w:color="000000"/>
              <w:right w:val="single" w:sz="8" w:space="0" w:color="000000"/>
            </w:tcBorders>
            <w:vAlign w:val="center"/>
          </w:tcPr>
          <w:p w14:paraId="3668FD32" w14:textId="77777777" w:rsidR="00963AB6" w:rsidRPr="0033055B" w:rsidRDefault="00963AB6" w:rsidP="003E6550">
            <w:pPr>
              <w:jc w:val="center"/>
              <w:rPr>
                <w:rFonts w:cstheme="minorHAnsi"/>
                <w:lang w:val="en-GB"/>
              </w:rPr>
            </w:pPr>
          </w:p>
        </w:tc>
        <w:tc>
          <w:tcPr>
            <w:tcW w:w="1000" w:type="dxa"/>
            <w:tcBorders>
              <w:top w:val="single" w:sz="8" w:space="0" w:color="000000"/>
              <w:left w:val="single" w:sz="8" w:space="0" w:color="000000"/>
              <w:bottom w:val="single" w:sz="8" w:space="0" w:color="000000"/>
              <w:right w:val="single" w:sz="8" w:space="0" w:color="000000"/>
            </w:tcBorders>
            <w:vAlign w:val="center"/>
          </w:tcPr>
          <w:p w14:paraId="74C63D1B" w14:textId="77777777" w:rsidR="00963AB6" w:rsidRPr="0033055B" w:rsidRDefault="00963AB6" w:rsidP="003E6550">
            <w:pPr>
              <w:jc w:val="center"/>
              <w:rPr>
                <w:rFonts w:cstheme="minorHAnsi"/>
                <w:lang w:val="en-GB"/>
              </w:rPr>
            </w:pPr>
          </w:p>
        </w:tc>
        <w:tc>
          <w:tcPr>
            <w:tcW w:w="1003" w:type="dxa"/>
            <w:tcBorders>
              <w:top w:val="single" w:sz="8" w:space="0" w:color="000000"/>
              <w:left w:val="single" w:sz="8" w:space="0" w:color="000000"/>
              <w:bottom w:val="single" w:sz="8" w:space="0" w:color="000000"/>
              <w:right w:val="single" w:sz="8" w:space="0" w:color="000000"/>
            </w:tcBorders>
            <w:vAlign w:val="center"/>
          </w:tcPr>
          <w:p w14:paraId="74231BC2" w14:textId="77777777" w:rsidR="00963AB6" w:rsidRPr="0033055B" w:rsidRDefault="00963AB6" w:rsidP="003E6550">
            <w:pPr>
              <w:jc w:val="center"/>
              <w:rPr>
                <w:rFonts w:cstheme="minorHAnsi"/>
                <w:lang w:val="en-GB"/>
              </w:rPr>
            </w:pPr>
          </w:p>
        </w:tc>
        <w:tc>
          <w:tcPr>
            <w:tcW w:w="1001" w:type="dxa"/>
            <w:tcBorders>
              <w:top w:val="single" w:sz="8" w:space="0" w:color="000000"/>
              <w:left w:val="single" w:sz="8" w:space="0" w:color="000000"/>
              <w:bottom w:val="single" w:sz="8" w:space="0" w:color="000000"/>
              <w:right w:val="single" w:sz="8" w:space="0" w:color="000000"/>
            </w:tcBorders>
            <w:vAlign w:val="center"/>
          </w:tcPr>
          <w:p w14:paraId="01ECD180" w14:textId="77777777" w:rsidR="00963AB6" w:rsidRPr="0033055B" w:rsidRDefault="00963AB6" w:rsidP="003E6550">
            <w:pPr>
              <w:jc w:val="center"/>
              <w:rPr>
                <w:rFonts w:cstheme="minorHAnsi"/>
                <w:lang w:val="en-GB"/>
              </w:rPr>
            </w:pPr>
          </w:p>
        </w:tc>
        <w:tc>
          <w:tcPr>
            <w:tcW w:w="1002" w:type="dxa"/>
            <w:tcBorders>
              <w:top w:val="single" w:sz="8" w:space="0" w:color="000000"/>
              <w:left w:val="single" w:sz="8" w:space="0" w:color="000000"/>
              <w:bottom w:val="single" w:sz="8" w:space="0" w:color="000000"/>
              <w:right w:val="single" w:sz="8" w:space="0" w:color="000000"/>
            </w:tcBorders>
            <w:vAlign w:val="center"/>
          </w:tcPr>
          <w:p w14:paraId="752DBDE4" w14:textId="77777777" w:rsidR="00963AB6" w:rsidRPr="0033055B" w:rsidRDefault="00963AB6" w:rsidP="003E6550">
            <w:pPr>
              <w:jc w:val="center"/>
              <w:rPr>
                <w:rFonts w:cstheme="minorHAnsi"/>
                <w:lang w:val="en-GB"/>
              </w:rPr>
            </w:pPr>
          </w:p>
        </w:tc>
        <w:tc>
          <w:tcPr>
            <w:tcW w:w="1001" w:type="dxa"/>
            <w:tcBorders>
              <w:top w:val="single" w:sz="8" w:space="0" w:color="000000"/>
              <w:left w:val="single" w:sz="8" w:space="0" w:color="000000"/>
              <w:bottom w:val="single" w:sz="8" w:space="0" w:color="000000"/>
              <w:right w:val="single" w:sz="8" w:space="0" w:color="000000"/>
            </w:tcBorders>
            <w:vAlign w:val="center"/>
          </w:tcPr>
          <w:p w14:paraId="76DABBFA" w14:textId="77777777" w:rsidR="00963AB6" w:rsidRPr="0033055B" w:rsidRDefault="00963AB6" w:rsidP="003E6550">
            <w:pPr>
              <w:jc w:val="center"/>
              <w:rPr>
                <w:rFonts w:cstheme="minorHAnsi"/>
                <w:lang w:val="en-GB"/>
              </w:rPr>
            </w:pPr>
          </w:p>
        </w:tc>
        <w:tc>
          <w:tcPr>
            <w:tcW w:w="1003" w:type="dxa"/>
            <w:tcBorders>
              <w:top w:val="single" w:sz="8" w:space="0" w:color="000000"/>
              <w:left w:val="single" w:sz="8" w:space="0" w:color="000000"/>
              <w:bottom w:val="single" w:sz="8" w:space="0" w:color="000000"/>
              <w:right w:val="single" w:sz="8" w:space="0" w:color="000000"/>
            </w:tcBorders>
            <w:vAlign w:val="center"/>
          </w:tcPr>
          <w:p w14:paraId="406A692B" w14:textId="77777777" w:rsidR="00963AB6" w:rsidRPr="0033055B" w:rsidRDefault="00963AB6" w:rsidP="003E6550">
            <w:pPr>
              <w:jc w:val="center"/>
              <w:rPr>
                <w:rFonts w:cstheme="minorHAnsi"/>
                <w:lang w:val="en-GB"/>
              </w:rPr>
            </w:pPr>
          </w:p>
        </w:tc>
        <w:tc>
          <w:tcPr>
            <w:tcW w:w="1001" w:type="dxa"/>
            <w:tcBorders>
              <w:top w:val="single" w:sz="8" w:space="0" w:color="000000"/>
              <w:left w:val="single" w:sz="8" w:space="0" w:color="000000"/>
              <w:bottom w:val="single" w:sz="8" w:space="0" w:color="000000"/>
              <w:right w:val="single" w:sz="8" w:space="0" w:color="000000"/>
            </w:tcBorders>
            <w:vAlign w:val="center"/>
          </w:tcPr>
          <w:p w14:paraId="4D51807F" w14:textId="77777777" w:rsidR="00963AB6" w:rsidRPr="0033055B" w:rsidRDefault="00963AB6" w:rsidP="003E6550">
            <w:pPr>
              <w:jc w:val="center"/>
              <w:rPr>
                <w:rFonts w:cstheme="minorHAnsi"/>
                <w:lang w:val="en-GB"/>
              </w:rPr>
            </w:pPr>
          </w:p>
        </w:tc>
        <w:tc>
          <w:tcPr>
            <w:tcW w:w="1002" w:type="dxa"/>
            <w:tcBorders>
              <w:top w:val="single" w:sz="8" w:space="0" w:color="000000"/>
              <w:left w:val="single" w:sz="8" w:space="0" w:color="000000"/>
              <w:bottom w:val="single" w:sz="8" w:space="0" w:color="000000"/>
              <w:right w:val="single" w:sz="8" w:space="0" w:color="000000"/>
            </w:tcBorders>
            <w:vAlign w:val="center"/>
          </w:tcPr>
          <w:p w14:paraId="4ABB54DD" w14:textId="77777777" w:rsidR="00963AB6" w:rsidRPr="0033055B" w:rsidRDefault="00963AB6" w:rsidP="003E6550">
            <w:pPr>
              <w:jc w:val="center"/>
              <w:rPr>
                <w:rFonts w:cstheme="minorHAnsi"/>
                <w:lang w:val="en-GB"/>
              </w:rPr>
            </w:pPr>
          </w:p>
        </w:tc>
        <w:tc>
          <w:tcPr>
            <w:tcW w:w="1001" w:type="dxa"/>
            <w:tcBorders>
              <w:top w:val="single" w:sz="8" w:space="0" w:color="000000"/>
              <w:left w:val="single" w:sz="8" w:space="0" w:color="000000"/>
              <w:bottom w:val="single" w:sz="8" w:space="0" w:color="000000"/>
              <w:right w:val="single" w:sz="8" w:space="0" w:color="000000"/>
            </w:tcBorders>
            <w:vAlign w:val="center"/>
          </w:tcPr>
          <w:p w14:paraId="0FB37C21" w14:textId="77777777" w:rsidR="00963AB6" w:rsidRPr="0033055B" w:rsidRDefault="00963AB6" w:rsidP="003E6550">
            <w:pPr>
              <w:jc w:val="center"/>
              <w:rPr>
                <w:rFonts w:cstheme="minorHAnsi"/>
                <w:lang w:val="en-GB"/>
              </w:rPr>
            </w:pPr>
          </w:p>
        </w:tc>
        <w:tc>
          <w:tcPr>
            <w:tcW w:w="1002" w:type="dxa"/>
            <w:tcBorders>
              <w:top w:val="single" w:sz="8" w:space="0" w:color="000000"/>
              <w:left w:val="single" w:sz="8" w:space="0" w:color="000000"/>
              <w:bottom w:val="single" w:sz="8" w:space="0" w:color="000000"/>
              <w:right w:val="single" w:sz="8" w:space="0" w:color="000000"/>
            </w:tcBorders>
            <w:vAlign w:val="center"/>
          </w:tcPr>
          <w:p w14:paraId="73ADA94B" w14:textId="77777777" w:rsidR="00963AB6" w:rsidRPr="0033055B" w:rsidRDefault="00963AB6" w:rsidP="003E6550">
            <w:pPr>
              <w:jc w:val="center"/>
              <w:rPr>
                <w:rFonts w:cstheme="minorHAnsi"/>
                <w:lang w:val="en-GB"/>
              </w:rPr>
            </w:pPr>
          </w:p>
        </w:tc>
      </w:tr>
      <w:tr w:rsidR="00963AB6" w:rsidRPr="0033055B" w14:paraId="4ECF34AA" w14:textId="77777777" w:rsidTr="003E6550">
        <w:trPr>
          <w:gridAfter w:val="1"/>
          <w:wAfter w:w="6" w:type="dxa"/>
          <w:trHeight w:val="470"/>
          <w:jc w:val="center"/>
        </w:trPr>
        <w:tc>
          <w:tcPr>
            <w:tcW w:w="2114" w:type="dxa"/>
            <w:tcBorders>
              <w:top w:val="single" w:sz="8" w:space="0" w:color="000000"/>
              <w:left w:val="single" w:sz="8" w:space="0" w:color="000000"/>
              <w:bottom w:val="single" w:sz="4" w:space="0" w:color="000000"/>
              <w:right w:val="single" w:sz="8" w:space="0" w:color="000000"/>
            </w:tcBorders>
            <w:vAlign w:val="center"/>
          </w:tcPr>
          <w:p w14:paraId="2C07A84D" w14:textId="77777777" w:rsidR="00963AB6" w:rsidRPr="00E565CD" w:rsidRDefault="00724C64" w:rsidP="00E565CD">
            <w:pPr>
              <w:jc w:val="center"/>
              <w:rPr>
                <w:b/>
              </w:rPr>
            </w:pPr>
            <w:r>
              <w:rPr>
                <w:b/>
              </w:rPr>
              <w:t>GJITHSEJ</w:t>
            </w:r>
          </w:p>
        </w:tc>
        <w:tc>
          <w:tcPr>
            <w:tcW w:w="1000" w:type="dxa"/>
            <w:tcBorders>
              <w:top w:val="single" w:sz="8" w:space="0" w:color="000000"/>
              <w:left w:val="single" w:sz="8" w:space="0" w:color="000000"/>
              <w:bottom w:val="single" w:sz="4" w:space="0" w:color="000000"/>
              <w:right w:val="single" w:sz="8" w:space="0" w:color="000000"/>
            </w:tcBorders>
            <w:vAlign w:val="center"/>
          </w:tcPr>
          <w:p w14:paraId="3CD064B2" w14:textId="77777777" w:rsidR="00963AB6" w:rsidRPr="00E565CD" w:rsidRDefault="00724C64" w:rsidP="00E565CD">
            <w:pPr>
              <w:jc w:val="center"/>
              <w:rPr>
                <w:b/>
              </w:rPr>
            </w:pPr>
            <w:r>
              <w:rPr>
                <w:b/>
              </w:rPr>
              <w:t>40</w:t>
            </w:r>
          </w:p>
        </w:tc>
        <w:tc>
          <w:tcPr>
            <w:tcW w:w="1001" w:type="dxa"/>
            <w:tcBorders>
              <w:top w:val="single" w:sz="8" w:space="0" w:color="000000"/>
              <w:left w:val="single" w:sz="8" w:space="0" w:color="000000"/>
              <w:bottom w:val="single" w:sz="4" w:space="0" w:color="000000"/>
              <w:right w:val="single" w:sz="8" w:space="0" w:color="000000"/>
            </w:tcBorders>
            <w:vAlign w:val="center"/>
          </w:tcPr>
          <w:p w14:paraId="21B3C886" w14:textId="77777777" w:rsidR="00963AB6" w:rsidRPr="00E565CD" w:rsidRDefault="00724C64" w:rsidP="00E565CD">
            <w:pPr>
              <w:jc w:val="center"/>
              <w:rPr>
                <w:b/>
              </w:rPr>
            </w:pPr>
            <w:r>
              <w:rPr>
                <w:b/>
              </w:rPr>
              <w:t>120</w:t>
            </w:r>
          </w:p>
        </w:tc>
        <w:tc>
          <w:tcPr>
            <w:tcW w:w="1000" w:type="dxa"/>
            <w:tcBorders>
              <w:top w:val="single" w:sz="8" w:space="0" w:color="000000"/>
              <w:left w:val="single" w:sz="8" w:space="0" w:color="000000"/>
              <w:bottom w:val="single" w:sz="4" w:space="0" w:color="000000"/>
              <w:right w:val="single" w:sz="8" w:space="0" w:color="000000"/>
            </w:tcBorders>
            <w:vAlign w:val="center"/>
          </w:tcPr>
          <w:p w14:paraId="09207794" w14:textId="77777777" w:rsidR="00963AB6" w:rsidRPr="00E565CD" w:rsidRDefault="00724C64" w:rsidP="00E565CD">
            <w:pPr>
              <w:jc w:val="center"/>
              <w:rPr>
                <w:b/>
              </w:rPr>
            </w:pPr>
            <w:r>
              <w:rPr>
                <w:b/>
              </w:rPr>
              <w:t>43</w:t>
            </w:r>
          </w:p>
        </w:tc>
        <w:tc>
          <w:tcPr>
            <w:tcW w:w="1003" w:type="dxa"/>
            <w:tcBorders>
              <w:top w:val="single" w:sz="8" w:space="0" w:color="000000"/>
              <w:left w:val="single" w:sz="8" w:space="0" w:color="000000"/>
              <w:bottom w:val="single" w:sz="4" w:space="0" w:color="000000"/>
              <w:right w:val="single" w:sz="8" w:space="0" w:color="000000"/>
            </w:tcBorders>
            <w:vAlign w:val="center"/>
          </w:tcPr>
          <w:p w14:paraId="3D981366" w14:textId="77777777" w:rsidR="00963AB6" w:rsidRPr="00E565CD" w:rsidRDefault="00724C64" w:rsidP="00E565CD">
            <w:pPr>
              <w:jc w:val="center"/>
              <w:rPr>
                <w:b/>
              </w:rPr>
            </w:pPr>
            <w:r>
              <w:rPr>
                <w:b/>
              </w:rPr>
              <w:t>157</w:t>
            </w:r>
          </w:p>
        </w:tc>
        <w:tc>
          <w:tcPr>
            <w:tcW w:w="1001" w:type="dxa"/>
            <w:tcBorders>
              <w:top w:val="single" w:sz="8" w:space="0" w:color="000000"/>
              <w:left w:val="single" w:sz="8" w:space="0" w:color="000000"/>
              <w:bottom w:val="single" w:sz="4" w:space="0" w:color="000000"/>
              <w:right w:val="single" w:sz="8" w:space="0" w:color="000000"/>
            </w:tcBorders>
            <w:vAlign w:val="center"/>
          </w:tcPr>
          <w:p w14:paraId="0E2D1776" w14:textId="77777777" w:rsidR="00963AB6" w:rsidRPr="00E565CD" w:rsidRDefault="00724C64" w:rsidP="00E565CD">
            <w:pPr>
              <w:jc w:val="center"/>
              <w:rPr>
                <w:b/>
              </w:rPr>
            </w:pPr>
            <w:r>
              <w:rPr>
                <w:b/>
              </w:rPr>
              <w:t>44</w:t>
            </w:r>
          </w:p>
        </w:tc>
        <w:tc>
          <w:tcPr>
            <w:tcW w:w="1002" w:type="dxa"/>
            <w:tcBorders>
              <w:top w:val="single" w:sz="8" w:space="0" w:color="000000"/>
              <w:left w:val="single" w:sz="8" w:space="0" w:color="000000"/>
              <w:bottom w:val="single" w:sz="4" w:space="0" w:color="000000"/>
              <w:right w:val="single" w:sz="8" w:space="0" w:color="000000"/>
            </w:tcBorders>
            <w:vAlign w:val="center"/>
          </w:tcPr>
          <w:p w14:paraId="72E9B074" w14:textId="77777777" w:rsidR="00963AB6" w:rsidRPr="00E565CD" w:rsidRDefault="00724C64" w:rsidP="00E565CD">
            <w:pPr>
              <w:jc w:val="center"/>
              <w:rPr>
                <w:b/>
              </w:rPr>
            </w:pPr>
            <w:r>
              <w:rPr>
                <w:b/>
              </w:rPr>
              <w:t>104</w:t>
            </w:r>
          </w:p>
        </w:tc>
        <w:tc>
          <w:tcPr>
            <w:tcW w:w="1001" w:type="dxa"/>
            <w:tcBorders>
              <w:top w:val="single" w:sz="8" w:space="0" w:color="000000"/>
              <w:left w:val="single" w:sz="8" w:space="0" w:color="000000"/>
              <w:bottom w:val="single" w:sz="4" w:space="0" w:color="000000"/>
              <w:right w:val="single" w:sz="8" w:space="0" w:color="000000"/>
            </w:tcBorders>
            <w:vAlign w:val="center"/>
          </w:tcPr>
          <w:p w14:paraId="0A2340E3" w14:textId="77777777" w:rsidR="00963AB6" w:rsidRPr="00E565CD" w:rsidRDefault="00724C64" w:rsidP="00E565CD">
            <w:pPr>
              <w:jc w:val="center"/>
              <w:rPr>
                <w:b/>
              </w:rPr>
            </w:pPr>
            <w:r>
              <w:rPr>
                <w:b/>
              </w:rPr>
              <w:t>44</w:t>
            </w:r>
          </w:p>
        </w:tc>
        <w:tc>
          <w:tcPr>
            <w:tcW w:w="1003" w:type="dxa"/>
            <w:tcBorders>
              <w:top w:val="single" w:sz="8" w:space="0" w:color="000000"/>
              <w:left w:val="single" w:sz="8" w:space="0" w:color="000000"/>
              <w:bottom w:val="single" w:sz="4" w:space="0" w:color="000000"/>
              <w:right w:val="single" w:sz="8" w:space="0" w:color="000000"/>
            </w:tcBorders>
            <w:vAlign w:val="center"/>
          </w:tcPr>
          <w:p w14:paraId="057D09ED" w14:textId="77777777" w:rsidR="00963AB6" w:rsidRPr="00E565CD" w:rsidRDefault="00724C64" w:rsidP="00E565CD">
            <w:pPr>
              <w:jc w:val="center"/>
              <w:rPr>
                <w:b/>
              </w:rPr>
            </w:pPr>
            <w:r>
              <w:rPr>
                <w:b/>
              </w:rPr>
              <w:t>96</w:t>
            </w:r>
          </w:p>
        </w:tc>
        <w:tc>
          <w:tcPr>
            <w:tcW w:w="1001" w:type="dxa"/>
            <w:tcBorders>
              <w:top w:val="single" w:sz="8" w:space="0" w:color="000000"/>
              <w:left w:val="single" w:sz="8" w:space="0" w:color="000000"/>
              <w:bottom w:val="single" w:sz="4" w:space="0" w:color="000000"/>
              <w:right w:val="single" w:sz="8" w:space="0" w:color="000000"/>
            </w:tcBorders>
            <w:vAlign w:val="center"/>
          </w:tcPr>
          <w:p w14:paraId="28F28B30" w14:textId="77777777" w:rsidR="00963AB6" w:rsidRPr="00E565CD" w:rsidRDefault="00724C64" w:rsidP="00E565CD">
            <w:pPr>
              <w:jc w:val="center"/>
              <w:rPr>
                <w:b/>
              </w:rPr>
            </w:pPr>
            <w:r>
              <w:rPr>
                <w:b/>
              </w:rPr>
              <w:t>44</w:t>
            </w:r>
          </w:p>
        </w:tc>
        <w:tc>
          <w:tcPr>
            <w:tcW w:w="1002" w:type="dxa"/>
            <w:tcBorders>
              <w:top w:val="single" w:sz="8" w:space="0" w:color="000000"/>
              <w:left w:val="single" w:sz="8" w:space="0" w:color="000000"/>
              <w:bottom w:val="single" w:sz="4" w:space="0" w:color="000000"/>
              <w:right w:val="single" w:sz="8" w:space="0" w:color="000000"/>
            </w:tcBorders>
            <w:vAlign w:val="center"/>
          </w:tcPr>
          <w:p w14:paraId="7BD26BDA" w14:textId="77777777" w:rsidR="00963AB6" w:rsidRPr="00E565CD" w:rsidRDefault="00724C64" w:rsidP="00E565CD">
            <w:pPr>
              <w:jc w:val="center"/>
              <w:rPr>
                <w:b/>
              </w:rPr>
            </w:pPr>
            <w:r>
              <w:rPr>
                <w:b/>
              </w:rPr>
              <w:t>143</w:t>
            </w:r>
          </w:p>
        </w:tc>
        <w:tc>
          <w:tcPr>
            <w:tcW w:w="1001" w:type="dxa"/>
            <w:tcBorders>
              <w:top w:val="single" w:sz="8" w:space="0" w:color="000000"/>
              <w:left w:val="single" w:sz="8" w:space="0" w:color="000000"/>
              <w:bottom w:val="single" w:sz="4" w:space="0" w:color="000000"/>
              <w:right w:val="single" w:sz="8" w:space="0" w:color="000000"/>
            </w:tcBorders>
            <w:vAlign w:val="center"/>
          </w:tcPr>
          <w:p w14:paraId="52808BF8" w14:textId="77777777" w:rsidR="00963AB6" w:rsidRPr="00E565CD" w:rsidRDefault="00724C64" w:rsidP="00E565CD">
            <w:pPr>
              <w:jc w:val="center"/>
              <w:rPr>
                <w:b/>
              </w:rPr>
            </w:pPr>
            <w:r>
              <w:rPr>
                <w:b/>
              </w:rPr>
              <w:t>44</w:t>
            </w:r>
          </w:p>
        </w:tc>
        <w:tc>
          <w:tcPr>
            <w:tcW w:w="1002" w:type="dxa"/>
            <w:tcBorders>
              <w:top w:val="single" w:sz="8" w:space="0" w:color="000000"/>
              <w:left w:val="single" w:sz="8" w:space="0" w:color="000000"/>
              <w:bottom w:val="single" w:sz="4" w:space="0" w:color="000000"/>
              <w:right w:val="single" w:sz="8" w:space="0" w:color="000000"/>
            </w:tcBorders>
            <w:vAlign w:val="center"/>
          </w:tcPr>
          <w:p w14:paraId="28869A03" w14:textId="77777777" w:rsidR="00963AB6" w:rsidRPr="00E565CD" w:rsidRDefault="00724C64" w:rsidP="00E565CD">
            <w:pPr>
              <w:jc w:val="center"/>
              <w:rPr>
                <w:b/>
              </w:rPr>
            </w:pPr>
            <w:r>
              <w:rPr>
                <w:b/>
              </w:rPr>
              <w:t>151</w:t>
            </w:r>
          </w:p>
        </w:tc>
      </w:tr>
      <w:tr w:rsidR="00963AB6" w:rsidRPr="0033055B" w14:paraId="25A75CE6" w14:textId="77777777" w:rsidTr="003E6550">
        <w:trPr>
          <w:gridAfter w:val="1"/>
          <w:wAfter w:w="6" w:type="dxa"/>
          <w:trHeight w:val="242"/>
          <w:jc w:val="center"/>
        </w:trPr>
        <w:tc>
          <w:tcPr>
            <w:tcW w:w="2114" w:type="dxa"/>
            <w:tcBorders>
              <w:top w:val="single" w:sz="4" w:space="0" w:color="000000"/>
              <w:left w:val="single" w:sz="8" w:space="0" w:color="000000"/>
              <w:bottom w:val="single" w:sz="8" w:space="0" w:color="000000"/>
              <w:right w:val="single" w:sz="8" w:space="0" w:color="000000"/>
            </w:tcBorders>
          </w:tcPr>
          <w:p w14:paraId="7E2433D9" w14:textId="77777777" w:rsidR="00963AB6" w:rsidRPr="0033055B" w:rsidRDefault="00724C64" w:rsidP="00E565CD">
            <w:r>
              <w:t>Prej të cilave në ko-gjenerim</w:t>
            </w:r>
          </w:p>
        </w:tc>
        <w:tc>
          <w:tcPr>
            <w:tcW w:w="1000" w:type="dxa"/>
            <w:tcBorders>
              <w:top w:val="single" w:sz="4" w:space="0" w:color="000000"/>
              <w:left w:val="single" w:sz="8" w:space="0" w:color="000000"/>
              <w:bottom w:val="single" w:sz="8" w:space="0" w:color="000000"/>
              <w:right w:val="single" w:sz="8" w:space="0" w:color="000000"/>
            </w:tcBorders>
            <w:vAlign w:val="center"/>
          </w:tcPr>
          <w:p w14:paraId="4DE600B8" w14:textId="77777777" w:rsidR="00963AB6" w:rsidRPr="0033055B" w:rsidRDefault="00963AB6" w:rsidP="003E6550">
            <w:pPr>
              <w:spacing w:after="160" w:line="259" w:lineRule="auto"/>
              <w:jc w:val="center"/>
              <w:rPr>
                <w:rFonts w:cstheme="minorHAnsi"/>
                <w:lang w:val="en-GB"/>
              </w:rPr>
            </w:pPr>
          </w:p>
        </w:tc>
        <w:tc>
          <w:tcPr>
            <w:tcW w:w="1001" w:type="dxa"/>
            <w:tcBorders>
              <w:top w:val="single" w:sz="4" w:space="0" w:color="000000"/>
              <w:left w:val="single" w:sz="8" w:space="0" w:color="000000"/>
              <w:bottom w:val="single" w:sz="8" w:space="0" w:color="000000"/>
              <w:right w:val="single" w:sz="8" w:space="0" w:color="000000"/>
            </w:tcBorders>
            <w:vAlign w:val="center"/>
          </w:tcPr>
          <w:p w14:paraId="0BB67A79" w14:textId="77777777" w:rsidR="00963AB6" w:rsidRPr="0033055B" w:rsidRDefault="00963AB6" w:rsidP="003E6550">
            <w:pPr>
              <w:spacing w:after="160" w:line="259" w:lineRule="auto"/>
              <w:jc w:val="center"/>
              <w:rPr>
                <w:rFonts w:cstheme="minorHAnsi"/>
                <w:lang w:val="en-GB"/>
              </w:rPr>
            </w:pPr>
          </w:p>
        </w:tc>
        <w:tc>
          <w:tcPr>
            <w:tcW w:w="1000" w:type="dxa"/>
            <w:tcBorders>
              <w:top w:val="single" w:sz="4" w:space="0" w:color="000000"/>
              <w:left w:val="single" w:sz="8" w:space="0" w:color="000000"/>
              <w:bottom w:val="single" w:sz="8" w:space="0" w:color="000000"/>
              <w:right w:val="single" w:sz="8" w:space="0" w:color="000000"/>
            </w:tcBorders>
            <w:vAlign w:val="center"/>
          </w:tcPr>
          <w:p w14:paraId="72852F73" w14:textId="77777777" w:rsidR="00963AB6" w:rsidRPr="0033055B" w:rsidRDefault="00963AB6" w:rsidP="003E6550">
            <w:pPr>
              <w:spacing w:after="160" w:line="259" w:lineRule="auto"/>
              <w:jc w:val="center"/>
              <w:rPr>
                <w:rFonts w:cstheme="minorHAnsi"/>
                <w:lang w:val="en-GB"/>
              </w:rPr>
            </w:pPr>
          </w:p>
        </w:tc>
        <w:tc>
          <w:tcPr>
            <w:tcW w:w="1003" w:type="dxa"/>
            <w:tcBorders>
              <w:top w:val="single" w:sz="4" w:space="0" w:color="000000"/>
              <w:left w:val="single" w:sz="8" w:space="0" w:color="000000"/>
              <w:bottom w:val="single" w:sz="8" w:space="0" w:color="000000"/>
              <w:right w:val="single" w:sz="8" w:space="0" w:color="000000"/>
            </w:tcBorders>
            <w:vAlign w:val="center"/>
          </w:tcPr>
          <w:p w14:paraId="7A7A3128" w14:textId="77777777" w:rsidR="00963AB6" w:rsidRPr="0033055B" w:rsidRDefault="00963AB6" w:rsidP="003E6550">
            <w:pPr>
              <w:spacing w:after="160" w:line="259" w:lineRule="auto"/>
              <w:jc w:val="center"/>
              <w:rPr>
                <w:rFonts w:cstheme="minorHAnsi"/>
                <w:lang w:val="en-GB"/>
              </w:rPr>
            </w:pPr>
          </w:p>
        </w:tc>
        <w:tc>
          <w:tcPr>
            <w:tcW w:w="1001" w:type="dxa"/>
            <w:tcBorders>
              <w:top w:val="single" w:sz="4" w:space="0" w:color="000000"/>
              <w:left w:val="single" w:sz="8" w:space="0" w:color="000000"/>
              <w:bottom w:val="single" w:sz="8" w:space="0" w:color="000000"/>
              <w:right w:val="single" w:sz="8" w:space="0" w:color="000000"/>
            </w:tcBorders>
            <w:vAlign w:val="center"/>
          </w:tcPr>
          <w:p w14:paraId="3CBCB867" w14:textId="77777777" w:rsidR="00963AB6" w:rsidRPr="0033055B" w:rsidRDefault="00963AB6" w:rsidP="003E6550">
            <w:pPr>
              <w:spacing w:after="160" w:line="259" w:lineRule="auto"/>
              <w:jc w:val="center"/>
              <w:rPr>
                <w:rFonts w:cstheme="minorHAnsi"/>
                <w:lang w:val="en-GB"/>
              </w:rPr>
            </w:pPr>
          </w:p>
        </w:tc>
        <w:tc>
          <w:tcPr>
            <w:tcW w:w="1002" w:type="dxa"/>
            <w:tcBorders>
              <w:top w:val="single" w:sz="4" w:space="0" w:color="000000"/>
              <w:left w:val="single" w:sz="8" w:space="0" w:color="000000"/>
              <w:bottom w:val="single" w:sz="8" w:space="0" w:color="000000"/>
              <w:right w:val="single" w:sz="8" w:space="0" w:color="000000"/>
            </w:tcBorders>
            <w:vAlign w:val="center"/>
          </w:tcPr>
          <w:p w14:paraId="2EFB1E69" w14:textId="77777777" w:rsidR="00963AB6" w:rsidRPr="0033055B" w:rsidRDefault="00963AB6" w:rsidP="003E6550">
            <w:pPr>
              <w:spacing w:after="160" w:line="259" w:lineRule="auto"/>
              <w:jc w:val="center"/>
              <w:rPr>
                <w:rFonts w:cstheme="minorHAnsi"/>
                <w:lang w:val="en-GB"/>
              </w:rPr>
            </w:pPr>
          </w:p>
        </w:tc>
        <w:tc>
          <w:tcPr>
            <w:tcW w:w="1001" w:type="dxa"/>
            <w:tcBorders>
              <w:top w:val="single" w:sz="4" w:space="0" w:color="000000"/>
              <w:left w:val="single" w:sz="8" w:space="0" w:color="000000"/>
              <w:bottom w:val="single" w:sz="8" w:space="0" w:color="000000"/>
              <w:right w:val="single" w:sz="8" w:space="0" w:color="000000"/>
            </w:tcBorders>
            <w:vAlign w:val="center"/>
          </w:tcPr>
          <w:p w14:paraId="72CA778F" w14:textId="77777777" w:rsidR="00963AB6" w:rsidRPr="0033055B" w:rsidRDefault="00963AB6" w:rsidP="003E6550">
            <w:pPr>
              <w:spacing w:after="160" w:line="259" w:lineRule="auto"/>
              <w:jc w:val="center"/>
              <w:rPr>
                <w:rFonts w:cstheme="minorHAnsi"/>
                <w:lang w:val="en-GB"/>
              </w:rPr>
            </w:pPr>
          </w:p>
        </w:tc>
        <w:tc>
          <w:tcPr>
            <w:tcW w:w="1003" w:type="dxa"/>
            <w:tcBorders>
              <w:top w:val="single" w:sz="4" w:space="0" w:color="000000"/>
              <w:left w:val="single" w:sz="8" w:space="0" w:color="000000"/>
              <w:bottom w:val="single" w:sz="8" w:space="0" w:color="000000"/>
              <w:right w:val="single" w:sz="8" w:space="0" w:color="000000"/>
            </w:tcBorders>
            <w:vAlign w:val="center"/>
          </w:tcPr>
          <w:p w14:paraId="5C59ABD9" w14:textId="77777777" w:rsidR="00963AB6" w:rsidRPr="0033055B" w:rsidRDefault="00963AB6" w:rsidP="003E6550">
            <w:pPr>
              <w:spacing w:after="160" w:line="259" w:lineRule="auto"/>
              <w:jc w:val="center"/>
              <w:rPr>
                <w:rFonts w:cstheme="minorHAnsi"/>
                <w:lang w:val="en-GB"/>
              </w:rPr>
            </w:pPr>
          </w:p>
        </w:tc>
        <w:tc>
          <w:tcPr>
            <w:tcW w:w="1001" w:type="dxa"/>
            <w:tcBorders>
              <w:top w:val="single" w:sz="4" w:space="0" w:color="000000"/>
              <w:left w:val="single" w:sz="8" w:space="0" w:color="000000"/>
              <w:bottom w:val="single" w:sz="8" w:space="0" w:color="000000"/>
              <w:right w:val="single" w:sz="8" w:space="0" w:color="000000"/>
            </w:tcBorders>
            <w:vAlign w:val="center"/>
          </w:tcPr>
          <w:p w14:paraId="77228A42" w14:textId="77777777" w:rsidR="00963AB6" w:rsidRPr="0033055B" w:rsidRDefault="00963AB6" w:rsidP="003E6550">
            <w:pPr>
              <w:spacing w:after="160" w:line="259" w:lineRule="auto"/>
              <w:ind w:left="1"/>
              <w:jc w:val="center"/>
              <w:rPr>
                <w:rFonts w:cstheme="minorHAnsi"/>
                <w:lang w:val="en-GB"/>
              </w:rPr>
            </w:pPr>
          </w:p>
        </w:tc>
        <w:tc>
          <w:tcPr>
            <w:tcW w:w="1002" w:type="dxa"/>
            <w:tcBorders>
              <w:top w:val="single" w:sz="4" w:space="0" w:color="000000"/>
              <w:left w:val="single" w:sz="8" w:space="0" w:color="000000"/>
              <w:bottom w:val="single" w:sz="8" w:space="0" w:color="000000"/>
              <w:right w:val="single" w:sz="8" w:space="0" w:color="000000"/>
            </w:tcBorders>
            <w:vAlign w:val="center"/>
          </w:tcPr>
          <w:p w14:paraId="031EEB6F" w14:textId="77777777" w:rsidR="00963AB6" w:rsidRPr="0033055B" w:rsidRDefault="00963AB6" w:rsidP="003E6550">
            <w:pPr>
              <w:spacing w:after="160" w:line="259" w:lineRule="auto"/>
              <w:ind w:left="1"/>
              <w:jc w:val="center"/>
              <w:rPr>
                <w:rFonts w:cstheme="minorHAnsi"/>
                <w:lang w:val="en-GB"/>
              </w:rPr>
            </w:pPr>
          </w:p>
        </w:tc>
        <w:tc>
          <w:tcPr>
            <w:tcW w:w="1001" w:type="dxa"/>
            <w:tcBorders>
              <w:top w:val="single" w:sz="4" w:space="0" w:color="000000"/>
              <w:left w:val="single" w:sz="8" w:space="0" w:color="000000"/>
              <w:bottom w:val="single" w:sz="8" w:space="0" w:color="000000"/>
              <w:right w:val="single" w:sz="8" w:space="0" w:color="000000"/>
            </w:tcBorders>
            <w:vAlign w:val="center"/>
          </w:tcPr>
          <w:p w14:paraId="543AB2B3" w14:textId="77777777" w:rsidR="00963AB6" w:rsidRPr="0033055B" w:rsidRDefault="00963AB6" w:rsidP="003E6550">
            <w:pPr>
              <w:spacing w:after="160" w:line="259" w:lineRule="auto"/>
              <w:ind w:left="1"/>
              <w:jc w:val="center"/>
              <w:rPr>
                <w:rFonts w:cstheme="minorHAnsi"/>
                <w:lang w:val="en-GB"/>
              </w:rPr>
            </w:pPr>
          </w:p>
        </w:tc>
        <w:tc>
          <w:tcPr>
            <w:tcW w:w="1002" w:type="dxa"/>
            <w:tcBorders>
              <w:top w:val="single" w:sz="4" w:space="0" w:color="000000"/>
              <w:left w:val="single" w:sz="8" w:space="0" w:color="000000"/>
              <w:bottom w:val="single" w:sz="8" w:space="0" w:color="000000"/>
              <w:right w:val="single" w:sz="8" w:space="0" w:color="000000"/>
            </w:tcBorders>
            <w:vAlign w:val="center"/>
          </w:tcPr>
          <w:p w14:paraId="6AE671C4" w14:textId="77777777" w:rsidR="00963AB6" w:rsidRPr="0033055B" w:rsidRDefault="00963AB6" w:rsidP="003E6550">
            <w:pPr>
              <w:spacing w:after="160" w:line="259" w:lineRule="auto"/>
              <w:ind w:left="1"/>
              <w:jc w:val="center"/>
              <w:rPr>
                <w:rFonts w:cstheme="minorHAnsi"/>
                <w:lang w:val="en-GB"/>
              </w:rPr>
            </w:pPr>
          </w:p>
        </w:tc>
      </w:tr>
    </w:tbl>
    <w:p w14:paraId="20A39E3A" w14:textId="77777777" w:rsidR="003E6550" w:rsidRPr="00E565CD" w:rsidRDefault="003E6550" w:rsidP="00963AB6">
      <w:pPr>
        <w:spacing w:after="163" w:line="276" w:lineRule="auto"/>
        <w:ind w:left="10" w:right="127" w:hanging="10"/>
        <w:jc w:val="center"/>
        <w:rPr>
          <w:b/>
          <w:sz w:val="20"/>
          <w:lang w:val="en-GB"/>
        </w:rPr>
      </w:pPr>
    </w:p>
    <w:p w14:paraId="3FF9D32A" w14:textId="47C835DA" w:rsidR="00963AB6" w:rsidRPr="00053368" w:rsidRDefault="00724C64" w:rsidP="007563F9">
      <w:pPr>
        <w:spacing w:before="120" w:after="120" w:line="240" w:lineRule="auto"/>
        <w:jc w:val="center"/>
        <w:rPr>
          <w:rFonts w:ascii="Calibri" w:eastAsia="Calibri" w:hAnsi="Calibri"/>
          <w:iCs/>
        </w:rPr>
      </w:pPr>
      <w:bookmarkStart w:id="42" w:name="_Toc518377709"/>
      <w:r>
        <w:rPr>
          <w:rFonts w:ascii="Calibri" w:hAnsi="Calibri"/>
          <w:b/>
          <w:iCs/>
        </w:rPr>
        <w:t xml:space="preserve">Tabela </w:t>
      </w:r>
      <w:r w:rsidRPr="0033055B">
        <w:rPr>
          <w:rFonts w:ascii="Calibri" w:eastAsia="Calibri" w:hAnsi="Calibri"/>
          <w:b/>
          <w:iCs/>
        </w:rPr>
        <w:fldChar w:fldCharType="begin"/>
      </w:r>
      <w:r w:rsidRPr="00724C64">
        <w:rPr>
          <w:rFonts w:ascii="Calibri" w:eastAsia="Calibri" w:hAnsi="Calibri"/>
          <w:b/>
          <w:iCs/>
        </w:rPr>
        <w:instrText xml:space="preserve"> SEQ Table \* ARABIC </w:instrText>
      </w:r>
      <w:r w:rsidRPr="0033055B">
        <w:rPr>
          <w:rFonts w:ascii="Calibri" w:eastAsia="Calibri" w:hAnsi="Calibri"/>
          <w:b/>
          <w:iCs/>
        </w:rPr>
        <w:fldChar w:fldCharType="separate"/>
      </w:r>
      <w:r w:rsidR="00DC4741">
        <w:rPr>
          <w:rFonts w:ascii="Calibri" w:eastAsia="Calibri" w:hAnsi="Calibri"/>
          <w:b/>
          <w:iCs/>
          <w:noProof/>
        </w:rPr>
        <w:t>17</w:t>
      </w:r>
      <w:r w:rsidRPr="0033055B">
        <w:rPr>
          <w:rFonts w:ascii="Calibri" w:eastAsia="Calibri" w:hAnsi="Calibri"/>
          <w:b/>
          <w:iCs/>
        </w:rPr>
        <w:fldChar w:fldCharType="end"/>
      </w:r>
      <w:r>
        <w:rPr>
          <w:rFonts w:ascii="Calibri" w:hAnsi="Calibri"/>
          <w:b/>
          <w:iCs/>
        </w:rPr>
        <w:t>: Potenciali i disponueshëm në Kosovë për secilën teknologji të energjisë së ripërtërishme në energji elektrike, për periudhën 2015-2020.</w:t>
      </w:r>
      <w:bookmarkEnd w:id="42"/>
      <w:r>
        <w:rPr>
          <w:rFonts w:ascii="Calibri" w:hAnsi="Calibri"/>
          <w:b/>
          <w:iCs/>
        </w:rPr>
        <w:t xml:space="preserve"> </w:t>
      </w:r>
      <w:r>
        <w:rPr>
          <w:rFonts w:ascii="Calibri" w:hAnsi="Calibri"/>
          <w:iCs/>
        </w:rPr>
        <w:t xml:space="preserve"> </w:t>
      </w:r>
    </w:p>
    <w:tbl>
      <w:tblPr>
        <w:tblStyle w:val="TableGrid0"/>
        <w:tblW w:w="14258" w:type="dxa"/>
        <w:jc w:val="center"/>
        <w:tblInd w:w="0" w:type="dxa"/>
        <w:tblCellMar>
          <w:left w:w="108" w:type="dxa"/>
          <w:right w:w="115" w:type="dxa"/>
        </w:tblCellMar>
        <w:tblLook w:val="04A0" w:firstRow="1" w:lastRow="0" w:firstColumn="1" w:lastColumn="0" w:noHBand="0" w:noVBand="1"/>
      </w:tblPr>
      <w:tblGrid>
        <w:gridCol w:w="2560"/>
        <w:gridCol w:w="933"/>
        <w:gridCol w:w="935"/>
        <w:gridCol w:w="936"/>
        <w:gridCol w:w="953"/>
        <w:gridCol w:w="935"/>
        <w:gridCol w:w="1111"/>
        <w:gridCol w:w="936"/>
        <w:gridCol w:w="1111"/>
        <w:gridCol w:w="935"/>
        <w:gridCol w:w="1112"/>
        <w:gridCol w:w="886"/>
        <w:gridCol w:w="915"/>
      </w:tblGrid>
      <w:tr w:rsidR="00963AB6" w:rsidRPr="0033055B" w14:paraId="3D70814C" w14:textId="77777777" w:rsidTr="007563F9">
        <w:trPr>
          <w:trHeight w:val="335"/>
          <w:jc w:val="center"/>
        </w:trPr>
        <w:tc>
          <w:tcPr>
            <w:tcW w:w="2560" w:type="dxa"/>
            <w:vMerge w:val="restart"/>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6E26BFA8" w14:textId="77777777" w:rsidR="00963AB6" w:rsidRPr="0033055B" w:rsidRDefault="00963AB6" w:rsidP="003E6550">
            <w:pPr>
              <w:spacing w:line="276" w:lineRule="auto"/>
              <w:jc w:val="center"/>
              <w:rPr>
                <w:rFonts w:cstheme="minorHAnsi"/>
                <w:lang w:val="en-GB"/>
              </w:rPr>
            </w:pPr>
          </w:p>
        </w:tc>
        <w:tc>
          <w:tcPr>
            <w:tcW w:w="1868"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5F938238" w14:textId="77777777" w:rsidR="00963AB6" w:rsidRPr="0033055B" w:rsidRDefault="00963AB6" w:rsidP="003E6550">
            <w:pPr>
              <w:spacing w:line="276" w:lineRule="auto"/>
              <w:jc w:val="center"/>
              <w:rPr>
                <w:rFonts w:cstheme="minorHAnsi"/>
                <w:b/>
              </w:rPr>
            </w:pPr>
            <w:r>
              <w:rPr>
                <w:b/>
              </w:rPr>
              <w:t>2015</w:t>
            </w:r>
          </w:p>
        </w:tc>
        <w:tc>
          <w:tcPr>
            <w:tcW w:w="1889"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38F797A7" w14:textId="77777777" w:rsidR="00963AB6" w:rsidRPr="0033055B" w:rsidRDefault="00963AB6" w:rsidP="003E6550">
            <w:pPr>
              <w:spacing w:line="276" w:lineRule="auto"/>
              <w:jc w:val="center"/>
              <w:rPr>
                <w:rFonts w:cstheme="minorHAnsi"/>
                <w:b/>
              </w:rPr>
            </w:pPr>
            <w:r>
              <w:rPr>
                <w:b/>
              </w:rPr>
              <w:t>2016</w:t>
            </w:r>
          </w:p>
        </w:tc>
        <w:tc>
          <w:tcPr>
            <w:tcW w:w="2046"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0D81BE6F" w14:textId="77777777" w:rsidR="00963AB6" w:rsidRPr="0033055B" w:rsidRDefault="00963AB6" w:rsidP="003E6550">
            <w:pPr>
              <w:spacing w:line="276" w:lineRule="auto"/>
              <w:jc w:val="center"/>
              <w:rPr>
                <w:rFonts w:cstheme="minorHAnsi"/>
                <w:b/>
              </w:rPr>
            </w:pPr>
            <w:r>
              <w:rPr>
                <w:b/>
              </w:rPr>
              <w:t>2017</w:t>
            </w:r>
          </w:p>
        </w:tc>
        <w:tc>
          <w:tcPr>
            <w:tcW w:w="2047"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457356DB" w14:textId="77777777" w:rsidR="00963AB6" w:rsidRPr="0033055B" w:rsidRDefault="00963AB6" w:rsidP="003E6550">
            <w:pPr>
              <w:spacing w:line="276" w:lineRule="auto"/>
              <w:jc w:val="center"/>
              <w:rPr>
                <w:rFonts w:cstheme="minorHAnsi"/>
                <w:b/>
              </w:rPr>
            </w:pPr>
            <w:r>
              <w:rPr>
                <w:b/>
              </w:rPr>
              <w:t>2018</w:t>
            </w:r>
          </w:p>
        </w:tc>
        <w:tc>
          <w:tcPr>
            <w:tcW w:w="2047"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74D7E1AD" w14:textId="77777777" w:rsidR="00963AB6" w:rsidRPr="0033055B" w:rsidRDefault="00963AB6" w:rsidP="003E6550">
            <w:pPr>
              <w:spacing w:line="276" w:lineRule="auto"/>
              <w:jc w:val="center"/>
              <w:rPr>
                <w:rFonts w:cstheme="minorHAnsi"/>
                <w:b/>
              </w:rPr>
            </w:pPr>
            <w:r>
              <w:rPr>
                <w:b/>
              </w:rPr>
              <w:t>2019</w:t>
            </w:r>
          </w:p>
        </w:tc>
        <w:tc>
          <w:tcPr>
            <w:tcW w:w="1801"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18F9AD0D" w14:textId="77777777" w:rsidR="00963AB6" w:rsidRPr="0033055B" w:rsidRDefault="00963AB6" w:rsidP="003E6550">
            <w:pPr>
              <w:spacing w:line="276" w:lineRule="auto"/>
              <w:jc w:val="center"/>
              <w:rPr>
                <w:rFonts w:cstheme="minorHAnsi"/>
                <w:b/>
              </w:rPr>
            </w:pPr>
            <w:r>
              <w:rPr>
                <w:b/>
              </w:rPr>
              <w:t>2020</w:t>
            </w:r>
          </w:p>
        </w:tc>
      </w:tr>
      <w:tr w:rsidR="00C35FA9" w:rsidRPr="0033055B" w14:paraId="423FFE56" w14:textId="77777777" w:rsidTr="007563F9">
        <w:trPr>
          <w:trHeight w:val="335"/>
          <w:jc w:val="center"/>
        </w:trPr>
        <w:tc>
          <w:tcPr>
            <w:tcW w:w="0" w:type="auto"/>
            <w:vMerge/>
            <w:tcBorders>
              <w:top w:val="nil"/>
              <w:left w:val="single" w:sz="8" w:space="0" w:color="000000"/>
              <w:bottom w:val="single" w:sz="8" w:space="0" w:color="000000"/>
              <w:right w:val="single" w:sz="8" w:space="0" w:color="000000"/>
            </w:tcBorders>
            <w:shd w:val="clear" w:color="auto" w:fill="D9D9D9" w:themeFill="background1" w:themeFillShade="D9"/>
          </w:tcPr>
          <w:p w14:paraId="201D1595" w14:textId="77777777" w:rsidR="00963AB6" w:rsidRPr="0033055B" w:rsidRDefault="00963AB6" w:rsidP="003E6550">
            <w:pPr>
              <w:spacing w:line="276" w:lineRule="auto"/>
              <w:jc w:val="center"/>
              <w:rPr>
                <w:rFonts w:cstheme="minorHAnsi"/>
                <w:lang w:val="en-GB"/>
              </w:rPr>
            </w:pPr>
          </w:p>
        </w:tc>
        <w:tc>
          <w:tcPr>
            <w:tcW w:w="93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16D1A7DC" w14:textId="77777777" w:rsidR="00963AB6" w:rsidRPr="0033055B" w:rsidRDefault="00963AB6" w:rsidP="003E6550">
            <w:pPr>
              <w:spacing w:line="276" w:lineRule="auto"/>
              <w:jc w:val="center"/>
              <w:rPr>
                <w:rFonts w:cstheme="minorHAnsi"/>
                <w:b/>
              </w:rPr>
            </w:pPr>
            <w:r>
              <w:rPr>
                <w:b/>
              </w:rPr>
              <w:t>MW</w:t>
            </w:r>
          </w:p>
        </w:tc>
        <w:tc>
          <w:tcPr>
            <w:tcW w:w="93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04215547" w14:textId="77777777" w:rsidR="00963AB6" w:rsidRPr="0033055B" w:rsidRDefault="00963AB6" w:rsidP="003E6550">
            <w:pPr>
              <w:spacing w:line="276" w:lineRule="auto"/>
              <w:jc w:val="center"/>
              <w:rPr>
                <w:rFonts w:cstheme="minorHAnsi"/>
                <w:b/>
              </w:rPr>
            </w:pPr>
            <w:r>
              <w:rPr>
                <w:b/>
              </w:rPr>
              <w:t>GWh</w:t>
            </w:r>
          </w:p>
        </w:tc>
        <w:tc>
          <w:tcPr>
            <w:tcW w:w="93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0DD13AAB" w14:textId="77777777" w:rsidR="00963AB6" w:rsidRPr="0033055B" w:rsidRDefault="00963AB6" w:rsidP="003E6550">
            <w:pPr>
              <w:spacing w:line="276" w:lineRule="auto"/>
              <w:jc w:val="center"/>
              <w:rPr>
                <w:rFonts w:cstheme="minorHAnsi"/>
                <w:b/>
              </w:rPr>
            </w:pPr>
            <w:r>
              <w:rPr>
                <w:b/>
              </w:rPr>
              <w:t>MW</w:t>
            </w:r>
          </w:p>
        </w:tc>
        <w:tc>
          <w:tcPr>
            <w:tcW w:w="95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2EC47C9A" w14:textId="77777777" w:rsidR="00963AB6" w:rsidRPr="0033055B" w:rsidRDefault="00963AB6" w:rsidP="003E6550">
            <w:pPr>
              <w:spacing w:line="276" w:lineRule="auto"/>
              <w:jc w:val="center"/>
              <w:rPr>
                <w:rFonts w:cstheme="minorHAnsi"/>
                <w:b/>
              </w:rPr>
            </w:pPr>
            <w:r>
              <w:rPr>
                <w:b/>
              </w:rPr>
              <w:t>GWh</w:t>
            </w:r>
          </w:p>
        </w:tc>
        <w:tc>
          <w:tcPr>
            <w:tcW w:w="93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42ECE88D" w14:textId="77777777" w:rsidR="00963AB6" w:rsidRPr="0033055B" w:rsidRDefault="00963AB6" w:rsidP="003E6550">
            <w:pPr>
              <w:spacing w:line="276" w:lineRule="auto"/>
              <w:jc w:val="center"/>
              <w:rPr>
                <w:rFonts w:cstheme="minorHAnsi"/>
                <w:b/>
              </w:rPr>
            </w:pPr>
            <w:r>
              <w:rPr>
                <w:b/>
              </w:rPr>
              <w:t>MW</w:t>
            </w:r>
          </w:p>
        </w:tc>
        <w:tc>
          <w:tcPr>
            <w:tcW w:w="111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15A24370" w14:textId="77777777" w:rsidR="00963AB6" w:rsidRPr="0033055B" w:rsidRDefault="00963AB6" w:rsidP="003E6550">
            <w:pPr>
              <w:spacing w:line="276" w:lineRule="auto"/>
              <w:jc w:val="center"/>
              <w:rPr>
                <w:rFonts w:cstheme="minorHAnsi"/>
                <w:b/>
              </w:rPr>
            </w:pPr>
            <w:r>
              <w:rPr>
                <w:b/>
              </w:rPr>
              <w:t>GWh</w:t>
            </w:r>
          </w:p>
        </w:tc>
        <w:tc>
          <w:tcPr>
            <w:tcW w:w="93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0D01EDD7" w14:textId="77777777" w:rsidR="00963AB6" w:rsidRPr="0033055B" w:rsidRDefault="00963AB6" w:rsidP="003E6550">
            <w:pPr>
              <w:spacing w:line="276" w:lineRule="auto"/>
              <w:jc w:val="center"/>
              <w:rPr>
                <w:rFonts w:cstheme="minorHAnsi"/>
                <w:b/>
              </w:rPr>
            </w:pPr>
            <w:r>
              <w:rPr>
                <w:b/>
              </w:rPr>
              <w:t>MW</w:t>
            </w:r>
          </w:p>
        </w:tc>
        <w:tc>
          <w:tcPr>
            <w:tcW w:w="111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1E0E15E4" w14:textId="77777777" w:rsidR="00963AB6" w:rsidRPr="0033055B" w:rsidRDefault="00963AB6" w:rsidP="003E6550">
            <w:pPr>
              <w:spacing w:line="276" w:lineRule="auto"/>
              <w:jc w:val="center"/>
              <w:rPr>
                <w:rFonts w:cstheme="minorHAnsi"/>
                <w:b/>
              </w:rPr>
            </w:pPr>
            <w:r>
              <w:rPr>
                <w:b/>
              </w:rPr>
              <w:t>GWh</w:t>
            </w:r>
          </w:p>
        </w:tc>
        <w:tc>
          <w:tcPr>
            <w:tcW w:w="93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1D6A9BEE" w14:textId="77777777" w:rsidR="00963AB6" w:rsidRPr="0033055B" w:rsidRDefault="00963AB6" w:rsidP="003E6550">
            <w:pPr>
              <w:spacing w:line="276" w:lineRule="auto"/>
              <w:jc w:val="center"/>
              <w:rPr>
                <w:rFonts w:cstheme="minorHAnsi"/>
                <w:b/>
              </w:rPr>
            </w:pPr>
            <w:r>
              <w:rPr>
                <w:b/>
              </w:rPr>
              <w:t>MW</w:t>
            </w:r>
          </w:p>
        </w:tc>
        <w:tc>
          <w:tcPr>
            <w:tcW w:w="111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1DECB39C" w14:textId="77777777" w:rsidR="00963AB6" w:rsidRPr="0033055B" w:rsidRDefault="00963AB6" w:rsidP="003E6550">
            <w:pPr>
              <w:spacing w:line="276" w:lineRule="auto"/>
              <w:jc w:val="center"/>
              <w:rPr>
                <w:rFonts w:cstheme="minorHAnsi"/>
                <w:b/>
              </w:rPr>
            </w:pPr>
            <w:r>
              <w:rPr>
                <w:b/>
              </w:rPr>
              <w:t>GWh</w:t>
            </w:r>
          </w:p>
        </w:tc>
        <w:tc>
          <w:tcPr>
            <w:tcW w:w="88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1CB3195A" w14:textId="77777777" w:rsidR="00963AB6" w:rsidRPr="0033055B" w:rsidRDefault="00963AB6" w:rsidP="003E6550">
            <w:pPr>
              <w:spacing w:line="276" w:lineRule="auto"/>
              <w:jc w:val="center"/>
              <w:rPr>
                <w:rFonts w:cstheme="minorHAnsi"/>
                <w:b/>
              </w:rPr>
            </w:pPr>
            <w:r>
              <w:rPr>
                <w:b/>
              </w:rPr>
              <w:t>MW</w:t>
            </w:r>
          </w:p>
        </w:tc>
        <w:tc>
          <w:tcPr>
            <w:tcW w:w="91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1DE05595" w14:textId="77777777" w:rsidR="00963AB6" w:rsidRPr="0033055B" w:rsidRDefault="00963AB6" w:rsidP="003E6550">
            <w:pPr>
              <w:spacing w:line="276" w:lineRule="auto"/>
              <w:jc w:val="center"/>
              <w:rPr>
                <w:rFonts w:cstheme="minorHAnsi"/>
                <w:b/>
              </w:rPr>
            </w:pPr>
            <w:r>
              <w:rPr>
                <w:b/>
              </w:rPr>
              <w:t>GWh</w:t>
            </w:r>
          </w:p>
        </w:tc>
      </w:tr>
      <w:tr w:rsidR="00C35FA9" w:rsidRPr="0033055B" w14:paraId="3B2BFCF6" w14:textId="77777777" w:rsidTr="003E6550">
        <w:trPr>
          <w:trHeight w:val="246"/>
          <w:jc w:val="center"/>
        </w:trPr>
        <w:tc>
          <w:tcPr>
            <w:tcW w:w="2560" w:type="dxa"/>
            <w:tcBorders>
              <w:top w:val="single" w:sz="8" w:space="0" w:color="000000"/>
              <w:left w:val="single" w:sz="8" w:space="0" w:color="000000"/>
              <w:bottom w:val="single" w:sz="8" w:space="0" w:color="000000"/>
              <w:right w:val="single" w:sz="8" w:space="0" w:color="000000"/>
            </w:tcBorders>
          </w:tcPr>
          <w:p w14:paraId="2C0CEE7A" w14:textId="77777777" w:rsidR="00963AB6" w:rsidRPr="0033055B" w:rsidRDefault="00963AB6" w:rsidP="003E6550">
            <w:pPr>
              <w:spacing w:line="276" w:lineRule="auto"/>
              <w:jc w:val="center"/>
              <w:rPr>
                <w:rFonts w:cstheme="minorHAnsi"/>
              </w:rPr>
            </w:pPr>
            <w:r>
              <w:t>Hidro:</w:t>
            </w:r>
          </w:p>
        </w:tc>
        <w:tc>
          <w:tcPr>
            <w:tcW w:w="933" w:type="dxa"/>
            <w:tcBorders>
              <w:top w:val="single" w:sz="8" w:space="0" w:color="000000"/>
              <w:left w:val="single" w:sz="8" w:space="0" w:color="000000"/>
              <w:bottom w:val="single" w:sz="8" w:space="0" w:color="000000"/>
              <w:right w:val="single" w:sz="8" w:space="0" w:color="000000"/>
            </w:tcBorders>
            <w:vAlign w:val="center"/>
          </w:tcPr>
          <w:p w14:paraId="072591DF" w14:textId="77777777" w:rsidR="00963AB6" w:rsidRPr="0033055B" w:rsidRDefault="00963AB6" w:rsidP="003E6550">
            <w:pPr>
              <w:spacing w:line="276" w:lineRule="auto"/>
              <w:jc w:val="center"/>
              <w:rPr>
                <w:rFonts w:cstheme="minorHAnsi"/>
                <w:lang w:val="en-GB"/>
              </w:rPr>
            </w:pPr>
          </w:p>
        </w:tc>
        <w:tc>
          <w:tcPr>
            <w:tcW w:w="935" w:type="dxa"/>
            <w:tcBorders>
              <w:top w:val="single" w:sz="8" w:space="0" w:color="000000"/>
              <w:left w:val="single" w:sz="8" w:space="0" w:color="000000"/>
              <w:bottom w:val="single" w:sz="8" w:space="0" w:color="000000"/>
              <w:right w:val="single" w:sz="8" w:space="0" w:color="000000"/>
            </w:tcBorders>
            <w:vAlign w:val="center"/>
          </w:tcPr>
          <w:p w14:paraId="4759B96E" w14:textId="77777777" w:rsidR="00963AB6" w:rsidRPr="0033055B" w:rsidRDefault="00963AB6" w:rsidP="003E6550">
            <w:pPr>
              <w:spacing w:line="276" w:lineRule="auto"/>
              <w:jc w:val="center"/>
              <w:rPr>
                <w:rFonts w:cstheme="minorHAnsi"/>
                <w:lang w:val="en-GB"/>
              </w:rPr>
            </w:pPr>
          </w:p>
        </w:tc>
        <w:tc>
          <w:tcPr>
            <w:tcW w:w="936" w:type="dxa"/>
            <w:tcBorders>
              <w:top w:val="single" w:sz="8" w:space="0" w:color="000000"/>
              <w:left w:val="single" w:sz="8" w:space="0" w:color="000000"/>
              <w:bottom w:val="single" w:sz="8" w:space="0" w:color="000000"/>
              <w:right w:val="single" w:sz="8" w:space="0" w:color="000000"/>
            </w:tcBorders>
            <w:vAlign w:val="center"/>
          </w:tcPr>
          <w:p w14:paraId="582B8B40" w14:textId="77777777" w:rsidR="00963AB6" w:rsidRPr="0033055B" w:rsidRDefault="00963AB6" w:rsidP="003E6550">
            <w:pPr>
              <w:spacing w:line="276" w:lineRule="auto"/>
              <w:jc w:val="center"/>
              <w:rPr>
                <w:rFonts w:cstheme="minorHAnsi"/>
                <w:lang w:val="en-GB"/>
              </w:rPr>
            </w:pPr>
          </w:p>
        </w:tc>
        <w:tc>
          <w:tcPr>
            <w:tcW w:w="953" w:type="dxa"/>
            <w:tcBorders>
              <w:top w:val="single" w:sz="8" w:space="0" w:color="000000"/>
              <w:left w:val="single" w:sz="8" w:space="0" w:color="000000"/>
              <w:bottom w:val="single" w:sz="8" w:space="0" w:color="000000"/>
              <w:right w:val="single" w:sz="8" w:space="0" w:color="000000"/>
            </w:tcBorders>
            <w:vAlign w:val="center"/>
          </w:tcPr>
          <w:p w14:paraId="1989EB5F" w14:textId="77777777" w:rsidR="00963AB6" w:rsidRPr="0033055B" w:rsidRDefault="00963AB6" w:rsidP="003E6550">
            <w:pPr>
              <w:spacing w:line="276" w:lineRule="auto"/>
              <w:jc w:val="center"/>
              <w:rPr>
                <w:rFonts w:cstheme="minorHAnsi"/>
                <w:lang w:val="en-GB"/>
              </w:rPr>
            </w:pPr>
          </w:p>
        </w:tc>
        <w:tc>
          <w:tcPr>
            <w:tcW w:w="935" w:type="dxa"/>
            <w:tcBorders>
              <w:top w:val="single" w:sz="8" w:space="0" w:color="000000"/>
              <w:left w:val="single" w:sz="8" w:space="0" w:color="000000"/>
              <w:bottom w:val="single" w:sz="8" w:space="0" w:color="000000"/>
              <w:right w:val="single" w:sz="8" w:space="0" w:color="000000"/>
            </w:tcBorders>
            <w:vAlign w:val="center"/>
          </w:tcPr>
          <w:p w14:paraId="5B175C2C" w14:textId="77777777" w:rsidR="00963AB6" w:rsidRPr="0033055B" w:rsidRDefault="00963AB6" w:rsidP="003E6550">
            <w:pPr>
              <w:spacing w:line="276" w:lineRule="auto"/>
              <w:jc w:val="center"/>
              <w:rPr>
                <w:rFonts w:cstheme="minorHAnsi"/>
                <w:lang w:val="en-GB"/>
              </w:rPr>
            </w:pPr>
          </w:p>
        </w:tc>
        <w:tc>
          <w:tcPr>
            <w:tcW w:w="1111" w:type="dxa"/>
            <w:tcBorders>
              <w:top w:val="single" w:sz="8" w:space="0" w:color="000000"/>
              <w:left w:val="single" w:sz="8" w:space="0" w:color="000000"/>
              <w:bottom w:val="single" w:sz="8" w:space="0" w:color="000000"/>
              <w:right w:val="single" w:sz="8" w:space="0" w:color="000000"/>
            </w:tcBorders>
            <w:vAlign w:val="center"/>
          </w:tcPr>
          <w:p w14:paraId="2A37FAD3" w14:textId="77777777" w:rsidR="00963AB6" w:rsidRPr="0033055B" w:rsidRDefault="00963AB6" w:rsidP="003E6550">
            <w:pPr>
              <w:spacing w:line="276" w:lineRule="auto"/>
              <w:jc w:val="center"/>
              <w:rPr>
                <w:rFonts w:cstheme="minorHAnsi"/>
                <w:lang w:val="en-GB"/>
              </w:rPr>
            </w:pPr>
          </w:p>
        </w:tc>
        <w:tc>
          <w:tcPr>
            <w:tcW w:w="936" w:type="dxa"/>
            <w:tcBorders>
              <w:top w:val="single" w:sz="8" w:space="0" w:color="000000"/>
              <w:left w:val="single" w:sz="8" w:space="0" w:color="000000"/>
              <w:bottom w:val="single" w:sz="8" w:space="0" w:color="000000"/>
              <w:right w:val="single" w:sz="8" w:space="0" w:color="000000"/>
            </w:tcBorders>
            <w:vAlign w:val="center"/>
          </w:tcPr>
          <w:p w14:paraId="409E2746" w14:textId="77777777" w:rsidR="00963AB6" w:rsidRPr="0033055B" w:rsidRDefault="00963AB6" w:rsidP="003E6550">
            <w:pPr>
              <w:spacing w:line="276" w:lineRule="auto"/>
              <w:jc w:val="center"/>
              <w:rPr>
                <w:rFonts w:cstheme="minorHAnsi"/>
                <w:lang w:val="en-GB"/>
              </w:rPr>
            </w:pPr>
          </w:p>
        </w:tc>
        <w:tc>
          <w:tcPr>
            <w:tcW w:w="1111" w:type="dxa"/>
            <w:tcBorders>
              <w:top w:val="single" w:sz="8" w:space="0" w:color="000000"/>
              <w:left w:val="single" w:sz="8" w:space="0" w:color="000000"/>
              <w:bottom w:val="single" w:sz="8" w:space="0" w:color="000000"/>
              <w:right w:val="single" w:sz="8" w:space="0" w:color="000000"/>
            </w:tcBorders>
            <w:vAlign w:val="center"/>
          </w:tcPr>
          <w:p w14:paraId="0E55923B" w14:textId="77777777" w:rsidR="00963AB6" w:rsidRPr="0033055B" w:rsidRDefault="00963AB6" w:rsidP="003E6550">
            <w:pPr>
              <w:spacing w:line="276" w:lineRule="auto"/>
              <w:jc w:val="center"/>
              <w:rPr>
                <w:rFonts w:cstheme="minorHAnsi"/>
                <w:lang w:val="en-GB"/>
              </w:rPr>
            </w:pPr>
          </w:p>
        </w:tc>
        <w:tc>
          <w:tcPr>
            <w:tcW w:w="935" w:type="dxa"/>
            <w:tcBorders>
              <w:top w:val="single" w:sz="8" w:space="0" w:color="000000"/>
              <w:left w:val="single" w:sz="8" w:space="0" w:color="000000"/>
              <w:bottom w:val="single" w:sz="8" w:space="0" w:color="000000"/>
              <w:right w:val="single" w:sz="8" w:space="0" w:color="000000"/>
            </w:tcBorders>
            <w:vAlign w:val="center"/>
          </w:tcPr>
          <w:p w14:paraId="03D7A732" w14:textId="77777777" w:rsidR="00963AB6" w:rsidRPr="0033055B" w:rsidRDefault="00963AB6" w:rsidP="003E6550">
            <w:pPr>
              <w:spacing w:line="276" w:lineRule="auto"/>
              <w:jc w:val="center"/>
              <w:rPr>
                <w:rFonts w:cstheme="minorHAnsi"/>
                <w:lang w:val="en-GB"/>
              </w:rPr>
            </w:pPr>
          </w:p>
        </w:tc>
        <w:tc>
          <w:tcPr>
            <w:tcW w:w="1112" w:type="dxa"/>
            <w:tcBorders>
              <w:top w:val="single" w:sz="8" w:space="0" w:color="000000"/>
              <w:left w:val="single" w:sz="8" w:space="0" w:color="000000"/>
              <w:bottom w:val="single" w:sz="8" w:space="0" w:color="000000"/>
              <w:right w:val="single" w:sz="8" w:space="0" w:color="000000"/>
            </w:tcBorders>
            <w:vAlign w:val="center"/>
          </w:tcPr>
          <w:p w14:paraId="0335E0C4" w14:textId="77777777" w:rsidR="00963AB6" w:rsidRPr="0033055B" w:rsidRDefault="00963AB6" w:rsidP="003E6550">
            <w:pPr>
              <w:spacing w:line="276" w:lineRule="auto"/>
              <w:jc w:val="center"/>
              <w:rPr>
                <w:rFonts w:cstheme="minorHAnsi"/>
                <w:lang w:val="en-GB"/>
              </w:rPr>
            </w:pPr>
          </w:p>
        </w:tc>
        <w:tc>
          <w:tcPr>
            <w:tcW w:w="886" w:type="dxa"/>
            <w:tcBorders>
              <w:top w:val="single" w:sz="8" w:space="0" w:color="000000"/>
              <w:left w:val="single" w:sz="8" w:space="0" w:color="000000"/>
              <w:bottom w:val="single" w:sz="8" w:space="0" w:color="000000"/>
              <w:right w:val="single" w:sz="8" w:space="0" w:color="000000"/>
            </w:tcBorders>
            <w:vAlign w:val="center"/>
          </w:tcPr>
          <w:p w14:paraId="44FC6A23" w14:textId="77777777" w:rsidR="00963AB6" w:rsidRPr="0033055B" w:rsidRDefault="00963AB6" w:rsidP="003E6550">
            <w:pPr>
              <w:spacing w:line="276" w:lineRule="auto"/>
              <w:jc w:val="center"/>
              <w:rPr>
                <w:rFonts w:cstheme="minorHAnsi"/>
                <w:lang w:val="en-GB"/>
              </w:rPr>
            </w:pPr>
          </w:p>
        </w:tc>
        <w:tc>
          <w:tcPr>
            <w:tcW w:w="915" w:type="dxa"/>
            <w:tcBorders>
              <w:top w:val="single" w:sz="8" w:space="0" w:color="000000"/>
              <w:left w:val="single" w:sz="8" w:space="0" w:color="000000"/>
              <w:bottom w:val="single" w:sz="8" w:space="0" w:color="000000"/>
              <w:right w:val="single" w:sz="8" w:space="0" w:color="000000"/>
            </w:tcBorders>
            <w:vAlign w:val="center"/>
          </w:tcPr>
          <w:p w14:paraId="22809DA1" w14:textId="77777777" w:rsidR="00963AB6" w:rsidRPr="0033055B" w:rsidRDefault="00963AB6" w:rsidP="003E6550">
            <w:pPr>
              <w:spacing w:line="276" w:lineRule="auto"/>
              <w:jc w:val="center"/>
              <w:rPr>
                <w:rFonts w:cstheme="minorHAnsi"/>
                <w:lang w:val="en-GB"/>
              </w:rPr>
            </w:pPr>
          </w:p>
        </w:tc>
      </w:tr>
      <w:tr w:rsidR="00C35FA9" w:rsidRPr="0033055B" w14:paraId="37B1F0C3" w14:textId="77777777" w:rsidTr="003E6550">
        <w:trPr>
          <w:trHeight w:val="474"/>
          <w:jc w:val="center"/>
        </w:trPr>
        <w:tc>
          <w:tcPr>
            <w:tcW w:w="2560" w:type="dxa"/>
            <w:tcBorders>
              <w:top w:val="single" w:sz="8" w:space="0" w:color="000000"/>
              <w:left w:val="single" w:sz="8" w:space="0" w:color="000000"/>
              <w:bottom w:val="single" w:sz="8" w:space="0" w:color="000000"/>
              <w:right w:val="single" w:sz="8" w:space="0" w:color="000000"/>
            </w:tcBorders>
            <w:vAlign w:val="center"/>
          </w:tcPr>
          <w:p w14:paraId="21942A2F" w14:textId="77777777" w:rsidR="009972A6" w:rsidRPr="0033055B" w:rsidRDefault="009972A6" w:rsidP="009972A6">
            <w:pPr>
              <w:spacing w:line="276" w:lineRule="auto"/>
              <w:ind w:left="140"/>
              <w:jc w:val="center"/>
              <w:rPr>
                <w:rFonts w:cstheme="minorHAnsi"/>
              </w:rPr>
            </w:pPr>
            <w:r>
              <w:rPr>
                <w:i/>
              </w:rPr>
              <w:t>&lt;1MW</w:t>
            </w:r>
          </w:p>
        </w:tc>
        <w:tc>
          <w:tcPr>
            <w:tcW w:w="933" w:type="dxa"/>
            <w:tcBorders>
              <w:top w:val="single" w:sz="8" w:space="0" w:color="000000"/>
              <w:left w:val="single" w:sz="8" w:space="0" w:color="000000"/>
              <w:bottom w:val="single" w:sz="4" w:space="0" w:color="000000"/>
              <w:right w:val="single" w:sz="8" w:space="0" w:color="000000"/>
            </w:tcBorders>
            <w:vAlign w:val="center"/>
          </w:tcPr>
          <w:p w14:paraId="4C23051F" w14:textId="77777777" w:rsidR="009972A6" w:rsidRPr="0033055B" w:rsidRDefault="009972A6" w:rsidP="009972A6">
            <w:pPr>
              <w:spacing w:line="276" w:lineRule="auto"/>
              <w:jc w:val="center"/>
              <w:rPr>
                <w:rFonts w:cstheme="minorHAnsi"/>
              </w:rPr>
            </w:pPr>
            <w:r>
              <w:t>3</w:t>
            </w:r>
          </w:p>
        </w:tc>
        <w:tc>
          <w:tcPr>
            <w:tcW w:w="935" w:type="dxa"/>
            <w:tcBorders>
              <w:top w:val="single" w:sz="8" w:space="0" w:color="000000"/>
              <w:left w:val="single" w:sz="8" w:space="0" w:color="000000"/>
              <w:bottom w:val="single" w:sz="4" w:space="0" w:color="000000"/>
              <w:right w:val="single" w:sz="8" w:space="0" w:color="000000"/>
            </w:tcBorders>
            <w:vAlign w:val="center"/>
          </w:tcPr>
          <w:p w14:paraId="76884B01" w14:textId="77777777" w:rsidR="009972A6" w:rsidRPr="0033055B" w:rsidRDefault="009972A6" w:rsidP="009972A6">
            <w:pPr>
              <w:spacing w:line="276" w:lineRule="auto"/>
              <w:jc w:val="center"/>
              <w:rPr>
                <w:rFonts w:cstheme="minorHAnsi"/>
              </w:rPr>
            </w:pPr>
            <w:r>
              <w:t>5</w:t>
            </w:r>
          </w:p>
        </w:tc>
        <w:tc>
          <w:tcPr>
            <w:tcW w:w="936" w:type="dxa"/>
            <w:tcBorders>
              <w:top w:val="single" w:sz="8" w:space="0" w:color="000000"/>
              <w:left w:val="single" w:sz="8" w:space="0" w:color="000000"/>
              <w:bottom w:val="single" w:sz="4" w:space="0" w:color="000000"/>
              <w:right w:val="single" w:sz="8" w:space="0" w:color="000000"/>
            </w:tcBorders>
            <w:vAlign w:val="center"/>
          </w:tcPr>
          <w:p w14:paraId="65B24FE9" w14:textId="77777777" w:rsidR="009972A6" w:rsidRPr="0033055B" w:rsidRDefault="009972A6" w:rsidP="009972A6">
            <w:pPr>
              <w:spacing w:line="276" w:lineRule="auto"/>
              <w:jc w:val="center"/>
              <w:rPr>
                <w:rFonts w:cstheme="minorHAnsi"/>
              </w:rPr>
            </w:pPr>
            <w:r>
              <w:t>3</w:t>
            </w:r>
          </w:p>
        </w:tc>
        <w:tc>
          <w:tcPr>
            <w:tcW w:w="953" w:type="dxa"/>
            <w:tcBorders>
              <w:top w:val="single" w:sz="8" w:space="0" w:color="000000"/>
              <w:left w:val="single" w:sz="8" w:space="0" w:color="000000"/>
              <w:bottom w:val="single" w:sz="4" w:space="0" w:color="000000"/>
              <w:right w:val="single" w:sz="8" w:space="0" w:color="000000"/>
            </w:tcBorders>
            <w:vAlign w:val="center"/>
          </w:tcPr>
          <w:p w14:paraId="04B082E0" w14:textId="77777777" w:rsidR="009972A6" w:rsidRPr="0033055B" w:rsidRDefault="009972A6" w:rsidP="009972A6">
            <w:pPr>
              <w:spacing w:line="276" w:lineRule="auto"/>
              <w:jc w:val="center"/>
              <w:rPr>
                <w:rFonts w:cstheme="minorHAnsi"/>
              </w:rPr>
            </w:pPr>
            <w:r>
              <w:t>13</w:t>
            </w:r>
          </w:p>
        </w:tc>
        <w:tc>
          <w:tcPr>
            <w:tcW w:w="935" w:type="dxa"/>
            <w:tcBorders>
              <w:top w:val="single" w:sz="8" w:space="0" w:color="000000"/>
              <w:left w:val="single" w:sz="8" w:space="0" w:color="000000"/>
              <w:bottom w:val="single" w:sz="4" w:space="0" w:color="000000"/>
              <w:right w:val="single" w:sz="8" w:space="0" w:color="000000"/>
            </w:tcBorders>
            <w:vAlign w:val="center"/>
          </w:tcPr>
          <w:p w14:paraId="02998E11" w14:textId="77777777" w:rsidR="009972A6" w:rsidRPr="0033055B" w:rsidRDefault="009972A6" w:rsidP="009972A6">
            <w:pPr>
              <w:spacing w:line="276" w:lineRule="auto"/>
              <w:ind w:left="179" w:right="129"/>
              <w:jc w:val="center"/>
              <w:rPr>
                <w:rFonts w:cstheme="minorHAnsi"/>
              </w:rPr>
            </w:pPr>
            <w:r>
              <w:t>3</w:t>
            </w:r>
          </w:p>
        </w:tc>
        <w:tc>
          <w:tcPr>
            <w:tcW w:w="1111" w:type="dxa"/>
            <w:tcBorders>
              <w:top w:val="single" w:sz="8" w:space="0" w:color="000000"/>
              <w:left w:val="single" w:sz="8" w:space="0" w:color="000000"/>
              <w:bottom w:val="single" w:sz="4" w:space="0" w:color="000000"/>
              <w:right w:val="single" w:sz="8" w:space="0" w:color="000000"/>
            </w:tcBorders>
            <w:vAlign w:val="center"/>
          </w:tcPr>
          <w:p w14:paraId="57EBC89D" w14:textId="77777777" w:rsidR="009972A6" w:rsidRPr="0033055B" w:rsidRDefault="009972A6" w:rsidP="009972A6">
            <w:pPr>
              <w:spacing w:line="276" w:lineRule="auto"/>
              <w:jc w:val="center"/>
              <w:rPr>
                <w:rFonts w:cstheme="minorHAnsi"/>
              </w:rPr>
            </w:pPr>
            <w:r>
              <w:t>13</w:t>
            </w:r>
          </w:p>
        </w:tc>
        <w:tc>
          <w:tcPr>
            <w:tcW w:w="936" w:type="dxa"/>
            <w:tcBorders>
              <w:top w:val="single" w:sz="8" w:space="0" w:color="000000"/>
              <w:left w:val="single" w:sz="8" w:space="0" w:color="000000"/>
              <w:bottom w:val="single" w:sz="4" w:space="0" w:color="000000"/>
              <w:right w:val="single" w:sz="8" w:space="0" w:color="000000"/>
            </w:tcBorders>
            <w:vAlign w:val="center"/>
          </w:tcPr>
          <w:p w14:paraId="0B7C0FD9" w14:textId="77777777" w:rsidR="009972A6" w:rsidRPr="0033055B" w:rsidRDefault="009972A6" w:rsidP="009972A6">
            <w:pPr>
              <w:spacing w:line="276" w:lineRule="auto"/>
              <w:ind w:left="179" w:right="130"/>
              <w:jc w:val="center"/>
              <w:rPr>
                <w:rFonts w:cstheme="minorHAnsi"/>
              </w:rPr>
            </w:pPr>
            <w:r>
              <w:t>3</w:t>
            </w:r>
          </w:p>
        </w:tc>
        <w:tc>
          <w:tcPr>
            <w:tcW w:w="1111" w:type="dxa"/>
            <w:tcBorders>
              <w:top w:val="single" w:sz="8" w:space="0" w:color="000000"/>
              <w:left w:val="single" w:sz="8" w:space="0" w:color="000000"/>
              <w:bottom w:val="single" w:sz="4" w:space="0" w:color="000000"/>
              <w:right w:val="single" w:sz="8" w:space="0" w:color="000000"/>
            </w:tcBorders>
            <w:vAlign w:val="center"/>
          </w:tcPr>
          <w:p w14:paraId="3178B606" w14:textId="77777777" w:rsidR="009972A6" w:rsidRPr="0033055B" w:rsidRDefault="009972A6" w:rsidP="009972A6">
            <w:pPr>
              <w:spacing w:line="276" w:lineRule="auto"/>
              <w:jc w:val="center"/>
              <w:rPr>
                <w:rFonts w:cstheme="minorHAnsi"/>
              </w:rPr>
            </w:pPr>
            <w:r>
              <w:t>13</w:t>
            </w:r>
          </w:p>
        </w:tc>
        <w:tc>
          <w:tcPr>
            <w:tcW w:w="935" w:type="dxa"/>
            <w:tcBorders>
              <w:top w:val="single" w:sz="8" w:space="0" w:color="000000"/>
              <w:left w:val="single" w:sz="8" w:space="0" w:color="000000"/>
              <w:bottom w:val="single" w:sz="4" w:space="0" w:color="000000"/>
              <w:right w:val="single" w:sz="8" w:space="0" w:color="000000"/>
            </w:tcBorders>
            <w:vAlign w:val="center"/>
          </w:tcPr>
          <w:p w14:paraId="7EEBD4E0" w14:textId="77777777" w:rsidR="009972A6" w:rsidRPr="0033055B" w:rsidRDefault="009972A6" w:rsidP="009972A6">
            <w:pPr>
              <w:spacing w:line="276" w:lineRule="auto"/>
              <w:jc w:val="center"/>
              <w:rPr>
                <w:rFonts w:cstheme="minorHAnsi"/>
              </w:rPr>
            </w:pPr>
            <w:r>
              <w:t>3.3</w:t>
            </w:r>
          </w:p>
        </w:tc>
        <w:tc>
          <w:tcPr>
            <w:tcW w:w="1112" w:type="dxa"/>
            <w:tcBorders>
              <w:top w:val="single" w:sz="8" w:space="0" w:color="000000"/>
              <w:left w:val="single" w:sz="8" w:space="0" w:color="000000"/>
              <w:bottom w:val="single" w:sz="4" w:space="0" w:color="000000"/>
              <w:right w:val="single" w:sz="8" w:space="0" w:color="000000"/>
            </w:tcBorders>
            <w:vAlign w:val="center"/>
          </w:tcPr>
          <w:p w14:paraId="38528744" w14:textId="77777777" w:rsidR="009972A6" w:rsidRPr="0033055B" w:rsidRDefault="009972A6" w:rsidP="009972A6">
            <w:pPr>
              <w:spacing w:line="276" w:lineRule="auto"/>
              <w:jc w:val="center"/>
              <w:rPr>
                <w:rFonts w:cstheme="minorHAnsi"/>
              </w:rPr>
            </w:pPr>
            <w:r>
              <w:t>15</w:t>
            </w:r>
          </w:p>
        </w:tc>
        <w:tc>
          <w:tcPr>
            <w:tcW w:w="886" w:type="dxa"/>
            <w:tcBorders>
              <w:top w:val="single" w:sz="8" w:space="0" w:color="000000"/>
              <w:left w:val="single" w:sz="8" w:space="0" w:color="000000"/>
              <w:bottom w:val="single" w:sz="4" w:space="0" w:color="000000"/>
              <w:right w:val="single" w:sz="8" w:space="0" w:color="000000"/>
            </w:tcBorders>
            <w:vAlign w:val="center"/>
          </w:tcPr>
          <w:p w14:paraId="511C1923" w14:textId="77777777" w:rsidR="009972A6" w:rsidRPr="0033055B" w:rsidRDefault="009972A6" w:rsidP="009972A6">
            <w:pPr>
              <w:spacing w:line="276" w:lineRule="auto"/>
              <w:jc w:val="center"/>
              <w:rPr>
                <w:rFonts w:cstheme="minorHAnsi"/>
              </w:rPr>
            </w:pPr>
            <w:r>
              <w:t>5.6</w:t>
            </w:r>
          </w:p>
        </w:tc>
        <w:tc>
          <w:tcPr>
            <w:tcW w:w="915" w:type="dxa"/>
            <w:tcBorders>
              <w:top w:val="single" w:sz="8" w:space="0" w:color="000000"/>
              <w:left w:val="single" w:sz="8" w:space="0" w:color="000000"/>
              <w:bottom w:val="single" w:sz="4" w:space="0" w:color="000000"/>
              <w:right w:val="single" w:sz="8" w:space="0" w:color="000000"/>
            </w:tcBorders>
            <w:vAlign w:val="center"/>
          </w:tcPr>
          <w:p w14:paraId="3DFD40F6" w14:textId="77777777" w:rsidR="009972A6" w:rsidRPr="0033055B" w:rsidRDefault="009972A6" w:rsidP="009972A6">
            <w:pPr>
              <w:spacing w:line="276" w:lineRule="auto"/>
              <w:jc w:val="center"/>
              <w:rPr>
                <w:rFonts w:cstheme="minorHAnsi"/>
              </w:rPr>
            </w:pPr>
            <w:r>
              <w:t>25</w:t>
            </w:r>
          </w:p>
        </w:tc>
      </w:tr>
      <w:tr w:rsidR="00C35FA9" w:rsidRPr="0033055B" w14:paraId="0D9073C7" w14:textId="77777777" w:rsidTr="003E6550">
        <w:trPr>
          <w:trHeight w:val="471"/>
          <w:jc w:val="center"/>
        </w:trPr>
        <w:tc>
          <w:tcPr>
            <w:tcW w:w="2560" w:type="dxa"/>
            <w:tcBorders>
              <w:top w:val="single" w:sz="8" w:space="0" w:color="000000"/>
              <w:left w:val="single" w:sz="8" w:space="0" w:color="000000"/>
              <w:bottom w:val="single" w:sz="4" w:space="0" w:color="000000"/>
              <w:right w:val="single" w:sz="8" w:space="0" w:color="000000"/>
            </w:tcBorders>
            <w:vAlign w:val="center"/>
          </w:tcPr>
          <w:p w14:paraId="406E490C" w14:textId="77777777" w:rsidR="009972A6" w:rsidRPr="0033055B" w:rsidRDefault="009972A6" w:rsidP="009972A6">
            <w:pPr>
              <w:spacing w:line="276" w:lineRule="auto"/>
              <w:ind w:left="140"/>
              <w:jc w:val="center"/>
              <w:rPr>
                <w:rFonts w:cstheme="minorHAnsi"/>
              </w:rPr>
            </w:pPr>
            <w:r>
              <w:rPr>
                <w:i/>
              </w:rPr>
              <w:t>1MW-10 MW</w:t>
            </w:r>
          </w:p>
        </w:tc>
        <w:tc>
          <w:tcPr>
            <w:tcW w:w="933" w:type="dxa"/>
            <w:tcBorders>
              <w:top w:val="single" w:sz="4" w:space="0" w:color="000000"/>
              <w:left w:val="single" w:sz="8" w:space="0" w:color="000000"/>
              <w:bottom w:val="single" w:sz="4" w:space="0" w:color="000000"/>
              <w:right w:val="single" w:sz="8" w:space="0" w:color="000000"/>
            </w:tcBorders>
            <w:vAlign w:val="center"/>
          </w:tcPr>
          <w:p w14:paraId="61F533E3" w14:textId="77777777" w:rsidR="009972A6" w:rsidRPr="0033055B" w:rsidRDefault="009972A6" w:rsidP="009972A6">
            <w:pPr>
              <w:spacing w:line="276" w:lineRule="auto"/>
              <w:jc w:val="center"/>
              <w:rPr>
                <w:rFonts w:cstheme="minorHAnsi"/>
              </w:rPr>
            </w:pPr>
            <w:r>
              <w:t>8</w:t>
            </w:r>
          </w:p>
        </w:tc>
        <w:tc>
          <w:tcPr>
            <w:tcW w:w="935" w:type="dxa"/>
            <w:tcBorders>
              <w:top w:val="single" w:sz="4" w:space="0" w:color="000000"/>
              <w:left w:val="single" w:sz="8" w:space="0" w:color="000000"/>
              <w:bottom w:val="single" w:sz="4" w:space="0" w:color="000000"/>
              <w:right w:val="single" w:sz="8" w:space="0" w:color="000000"/>
            </w:tcBorders>
            <w:vAlign w:val="center"/>
          </w:tcPr>
          <w:p w14:paraId="16D48633" w14:textId="77777777" w:rsidR="009972A6" w:rsidRPr="0033055B" w:rsidRDefault="009972A6" w:rsidP="009972A6">
            <w:pPr>
              <w:spacing w:line="276" w:lineRule="auto"/>
              <w:jc w:val="center"/>
              <w:rPr>
                <w:rFonts w:cstheme="minorHAnsi"/>
              </w:rPr>
            </w:pPr>
            <w:r>
              <w:t>31</w:t>
            </w:r>
          </w:p>
        </w:tc>
        <w:tc>
          <w:tcPr>
            <w:tcW w:w="936" w:type="dxa"/>
            <w:tcBorders>
              <w:top w:val="single" w:sz="4" w:space="0" w:color="000000"/>
              <w:left w:val="single" w:sz="8" w:space="0" w:color="000000"/>
              <w:bottom w:val="single" w:sz="4" w:space="0" w:color="000000"/>
              <w:right w:val="single" w:sz="8" w:space="0" w:color="000000"/>
            </w:tcBorders>
            <w:vAlign w:val="center"/>
          </w:tcPr>
          <w:p w14:paraId="722D1A3B" w14:textId="77777777" w:rsidR="009972A6" w:rsidRPr="0033055B" w:rsidRDefault="009972A6" w:rsidP="009972A6">
            <w:pPr>
              <w:spacing w:line="276" w:lineRule="auto"/>
              <w:jc w:val="center"/>
              <w:rPr>
                <w:rFonts w:cstheme="minorHAnsi"/>
              </w:rPr>
            </w:pPr>
            <w:r>
              <w:t>38.3</w:t>
            </w:r>
          </w:p>
        </w:tc>
        <w:tc>
          <w:tcPr>
            <w:tcW w:w="953" w:type="dxa"/>
            <w:tcBorders>
              <w:top w:val="single" w:sz="4" w:space="0" w:color="000000"/>
              <w:left w:val="single" w:sz="8" w:space="0" w:color="000000"/>
              <w:bottom w:val="single" w:sz="4" w:space="0" w:color="000000"/>
              <w:right w:val="single" w:sz="8" w:space="0" w:color="000000"/>
            </w:tcBorders>
            <w:vAlign w:val="center"/>
          </w:tcPr>
          <w:p w14:paraId="4754431E" w14:textId="77777777" w:rsidR="009972A6" w:rsidRPr="0033055B" w:rsidRDefault="009972A6" w:rsidP="009972A6">
            <w:pPr>
              <w:spacing w:line="276" w:lineRule="auto"/>
              <w:jc w:val="center"/>
              <w:rPr>
                <w:rFonts w:cstheme="minorHAnsi"/>
              </w:rPr>
            </w:pPr>
            <w:r>
              <w:t>171</w:t>
            </w:r>
          </w:p>
        </w:tc>
        <w:tc>
          <w:tcPr>
            <w:tcW w:w="935" w:type="dxa"/>
            <w:tcBorders>
              <w:top w:val="single" w:sz="4" w:space="0" w:color="000000"/>
              <w:left w:val="single" w:sz="8" w:space="0" w:color="000000"/>
              <w:bottom w:val="single" w:sz="4" w:space="0" w:color="000000"/>
              <w:right w:val="single" w:sz="8" w:space="0" w:color="000000"/>
            </w:tcBorders>
            <w:vAlign w:val="center"/>
          </w:tcPr>
          <w:p w14:paraId="069FAF24" w14:textId="77777777" w:rsidR="009972A6" w:rsidRPr="0033055B" w:rsidRDefault="009972A6" w:rsidP="009972A6">
            <w:pPr>
              <w:spacing w:line="276" w:lineRule="auto"/>
              <w:jc w:val="center"/>
              <w:rPr>
                <w:rFonts w:cstheme="minorHAnsi"/>
              </w:rPr>
            </w:pPr>
            <w:r>
              <w:t>38.3</w:t>
            </w:r>
          </w:p>
        </w:tc>
        <w:tc>
          <w:tcPr>
            <w:tcW w:w="1111" w:type="dxa"/>
            <w:tcBorders>
              <w:top w:val="single" w:sz="4" w:space="0" w:color="000000"/>
              <w:left w:val="single" w:sz="8" w:space="0" w:color="000000"/>
              <w:bottom w:val="single" w:sz="4" w:space="0" w:color="000000"/>
              <w:right w:val="single" w:sz="8" w:space="0" w:color="000000"/>
            </w:tcBorders>
            <w:vAlign w:val="center"/>
          </w:tcPr>
          <w:p w14:paraId="370EB85E" w14:textId="77777777" w:rsidR="009972A6" w:rsidRPr="0033055B" w:rsidRDefault="009972A6" w:rsidP="009972A6">
            <w:pPr>
              <w:spacing w:line="276" w:lineRule="auto"/>
              <w:jc w:val="center"/>
              <w:rPr>
                <w:rFonts w:cstheme="minorHAnsi"/>
              </w:rPr>
            </w:pPr>
            <w:r>
              <w:t>171</w:t>
            </w:r>
          </w:p>
        </w:tc>
        <w:tc>
          <w:tcPr>
            <w:tcW w:w="936" w:type="dxa"/>
            <w:tcBorders>
              <w:top w:val="single" w:sz="4" w:space="0" w:color="000000"/>
              <w:left w:val="single" w:sz="8" w:space="0" w:color="000000"/>
              <w:bottom w:val="single" w:sz="4" w:space="0" w:color="000000"/>
              <w:right w:val="single" w:sz="4" w:space="0" w:color="000000"/>
            </w:tcBorders>
            <w:vAlign w:val="center"/>
          </w:tcPr>
          <w:p w14:paraId="4AC3C225" w14:textId="77777777" w:rsidR="009972A6" w:rsidRPr="0033055B" w:rsidRDefault="009972A6" w:rsidP="009972A6">
            <w:pPr>
              <w:spacing w:line="276" w:lineRule="auto"/>
              <w:jc w:val="center"/>
              <w:rPr>
                <w:rFonts w:cstheme="minorHAnsi"/>
              </w:rPr>
            </w:pPr>
            <w:r>
              <w:t>69.4</w:t>
            </w:r>
          </w:p>
        </w:tc>
        <w:tc>
          <w:tcPr>
            <w:tcW w:w="1111" w:type="dxa"/>
            <w:tcBorders>
              <w:top w:val="single" w:sz="4" w:space="0" w:color="000000"/>
              <w:left w:val="single" w:sz="4" w:space="0" w:color="000000"/>
              <w:bottom w:val="single" w:sz="4" w:space="0" w:color="000000"/>
              <w:right w:val="single" w:sz="4" w:space="0" w:color="000000"/>
            </w:tcBorders>
            <w:vAlign w:val="center"/>
          </w:tcPr>
          <w:p w14:paraId="52FBD0AB" w14:textId="77777777" w:rsidR="009972A6" w:rsidRPr="0033055B" w:rsidRDefault="009972A6" w:rsidP="009972A6">
            <w:pPr>
              <w:spacing w:line="276" w:lineRule="auto"/>
              <w:jc w:val="center"/>
              <w:rPr>
                <w:rFonts w:cstheme="minorHAnsi"/>
              </w:rPr>
            </w:pPr>
            <w:r>
              <w:t>310</w:t>
            </w:r>
          </w:p>
        </w:tc>
        <w:tc>
          <w:tcPr>
            <w:tcW w:w="935" w:type="dxa"/>
            <w:tcBorders>
              <w:top w:val="single" w:sz="4" w:space="0" w:color="000000"/>
              <w:left w:val="single" w:sz="4" w:space="0" w:color="000000"/>
              <w:bottom w:val="single" w:sz="4" w:space="0" w:color="000000"/>
              <w:right w:val="single" w:sz="4" w:space="0" w:color="000000"/>
            </w:tcBorders>
            <w:vAlign w:val="center"/>
          </w:tcPr>
          <w:p w14:paraId="2181180C" w14:textId="77777777" w:rsidR="009972A6" w:rsidRPr="0033055B" w:rsidRDefault="009972A6" w:rsidP="009972A6">
            <w:pPr>
              <w:spacing w:line="276" w:lineRule="auto"/>
              <w:jc w:val="center"/>
              <w:rPr>
                <w:rFonts w:cstheme="minorHAnsi"/>
              </w:rPr>
            </w:pPr>
            <w:r>
              <w:t>100.1</w:t>
            </w:r>
          </w:p>
        </w:tc>
        <w:tc>
          <w:tcPr>
            <w:tcW w:w="1112" w:type="dxa"/>
            <w:tcBorders>
              <w:top w:val="single" w:sz="4" w:space="0" w:color="000000"/>
              <w:left w:val="single" w:sz="4" w:space="0" w:color="000000"/>
              <w:bottom w:val="single" w:sz="4" w:space="0" w:color="000000"/>
              <w:right w:val="single" w:sz="4" w:space="0" w:color="000000"/>
            </w:tcBorders>
            <w:vAlign w:val="center"/>
          </w:tcPr>
          <w:p w14:paraId="70845BB9" w14:textId="77777777" w:rsidR="009972A6" w:rsidRPr="0033055B" w:rsidRDefault="009972A6" w:rsidP="009972A6">
            <w:pPr>
              <w:spacing w:line="276" w:lineRule="auto"/>
              <w:jc w:val="center"/>
              <w:rPr>
                <w:rFonts w:cstheme="minorHAnsi"/>
              </w:rPr>
            </w:pPr>
            <w:r>
              <w:t>447</w:t>
            </w:r>
          </w:p>
        </w:tc>
        <w:tc>
          <w:tcPr>
            <w:tcW w:w="886" w:type="dxa"/>
            <w:tcBorders>
              <w:top w:val="single" w:sz="4" w:space="0" w:color="000000"/>
              <w:left w:val="single" w:sz="4" w:space="0" w:color="000000"/>
              <w:bottom w:val="single" w:sz="4" w:space="0" w:color="000000"/>
              <w:right w:val="single" w:sz="4" w:space="0" w:color="000000"/>
            </w:tcBorders>
            <w:vAlign w:val="center"/>
          </w:tcPr>
          <w:p w14:paraId="20BFC078" w14:textId="77777777" w:rsidR="009972A6" w:rsidRPr="0033055B" w:rsidRDefault="009972A6" w:rsidP="009972A6">
            <w:pPr>
              <w:spacing w:line="276" w:lineRule="auto"/>
              <w:jc w:val="center"/>
              <w:rPr>
                <w:rFonts w:cstheme="minorHAnsi"/>
              </w:rPr>
            </w:pPr>
            <w:r>
              <w:t>111.7</w:t>
            </w:r>
          </w:p>
        </w:tc>
        <w:tc>
          <w:tcPr>
            <w:tcW w:w="915" w:type="dxa"/>
            <w:tcBorders>
              <w:top w:val="single" w:sz="4" w:space="0" w:color="000000"/>
              <w:left w:val="single" w:sz="4" w:space="0" w:color="000000"/>
              <w:bottom w:val="single" w:sz="4" w:space="0" w:color="000000"/>
              <w:right w:val="single" w:sz="8" w:space="0" w:color="000000"/>
            </w:tcBorders>
            <w:vAlign w:val="center"/>
          </w:tcPr>
          <w:p w14:paraId="77478399" w14:textId="77777777" w:rsidR="009972A6" w:rsidRPr="0033055B" w:rsidRDefault="009972A6" w:rsidP="009972A6">
            <w:pPr>
              <w:spacing w:line="276" w:lineRule="auto"/>
              <w:jc w:val="center"/>
              <w:rPr>
                <w:rFonts w:cstheme="minorHAnsi"/>
              </w:rPr>
            </w:pPr>
            <w:r>
              <w:t>499</w:t>
            </w:r>
          </w:p>
        </w:tc>
      </w:tr>
      <w:tr w:rsidR="00C35FA9" w:rsidRPr="0033055B" w14:paraId="3F20FE3B" w14:textId="77777777" w:rsidTr="003E6550">
        <w:trPr>
          <w:trHeight w:val="241"/>
          <w:jc w:val="center"/>
        </w:trPr>
        <w:tc>
          <w:tcPr>
            <w:tcW w:w="2560" w:type="dxa"/>
            <w:tcBorders>
              <w:top w:val="single" w:sz="4" w:space="0" w:color="000000"/>
              <w:left w:val="single" w:sz="8" w:space="0" w:color="000000"/>
              <w:bottom w:val="single" w:sz="8" w:space="0" w:color="000000"/>
              <w:right w:val="single" w:sz="8" w:space="0" w:color="000000"/>
            </w:tcBorders>
          </w:tcPr>
          <w:p w14:paraId="79B6620C" w14:textId="77777777" w:rsidR="009972A6" w:rsidRPr="0033055B" w:rsidRDefault="00724C64" w:rsidP="009972A6">
            <w:pPr>
              <w:spacing w:after="160" w:line="276" w:lineRule="auto"/>
              <w:ind w:left="140"/>
              <w:jc w:val="center"/>
              <w:rPr>
                <w:rFonts w:cstheme="minorHAnsi"/>
              </w:rPr>
            </w:pPr>
            <w:r>
              <w:rPr>
                <w:i/>
              </w:rPr>
              <w:t>&gt;10MW</w:t>
            </w:r>
          </w:p>
        </w:tc>
        <w:tc>
          <w:tcPr>
            <w:tcW w:w="933" w:type="dxa"/>
            <w:tcBorders>
              <w:top w:val="single" w:sz="4" w:space="0" w:color="000000"/>
              <w:left w:val="single" w:sz="8" w:space="0" w:color="000000"/>
              <w:bottom w:val="single" w:sz="8" w:space="0" w:color="000000"/>
              <w:right w:val="single" w:sz="8" w:space="0" w:color="000000"/>
            </w:tcBorders>
            <w:vAlign w:val="center"/>
          </w:tcPr>
          <w:p w14:paraId="64DC4E82" w14:textId="77777777" w:rsidR="009972A6" w:rsidRPr="0033055B" w:rsidRDefault="00724C64" w:rsidP="009972A6">
            <w:pPr>
              <w:spacing w:after="160" w:line="276" w:lineRule="auto"/>
              <w:jc w:val="center"/>
              <w:rPr>
                <w:rFonts w:cstheme="minorHAnsi"/>
              </w:rPr>
            </w:pPr>
            <w:r>
              <w:t>32</w:t>
            </w:r>
          </w:p>
        </w:tc>
        <w:tc>
          <w:tcPr>
            <w:tcW w:w="935" w:type="dxa"/>
            <w:tcBorders>
              <w:top w:val="single" w:sz="4" w:space="0" w:color="000000"/>
              <w:left w:val="single" w:sz="8" w:space="0" w:color="000000"/>
              <w:bottom w:val="single" w:sz="8" w:space="0" w:color="000000"/>
              <w:right w:val="single" w:sz="8" w:space="0" w:color="000000"/>
            </w:tcBorders>
            <w:vAlign w:val="center"/>
          </w:tcPr>
          <w:p w14:paraId="72BCBDA5" w14:textId="77777777" w:rsidR="009972A6" w:rsidRPr="0033055B" w:rsidRDefault="00724C64" w:rsidP="009972A6">
            <w:pPr>
              <w:spacing w:after="160" w:line="276" w:lineRule="auto"/>
              <w:jc w:val="center"/>
              <w:rPr>
                <w:rFonts w:cstheme="minorHAnsi"/>
              </w:rPr>
            </w:pPr>
            <w:r>
              <w:t>103</w:t>
            </w:r>
          </w:p>
        </w:tc>
        <w:tc>
          <w:tcPr>
            <w:tcW w:w="936" w:type="dxa"/>
            <w:tcBorders>
              <w:top w:val="single" w:sz="4" w:space="0" w:color="000000"/>
              <w:left w:val="single" w:sz="8" w:space="0" w:color="000000"/>
              <w:bottom w:val="single" w:sz="8" w:space="0" w:color="000000"/>
              <w:right w:val="single" w:sz="8" w:space="0" w:color="000000"/>
            </w:tcBorders>
            <w:vAlign w:val="center"/>
          </w:tcPr>
          <w:p w14:paraId="4DC45CC6" w14:textId="77777777" w:rsidR="009972A6" w:rsidRPr="0033055B" w:rsidRDefault="00724C64" w:rsidP="009972A6">
            <w:pPr>
              <w:spacing w:after="160" w:line="276" w:lineRule="auto"/>
              <w:jc w:val="center"/>
              <w:rPr>
                <w:rFonts w:cstheme="minorHAnsi"/>
              </w:rPr>
            </w:pPr>
            <w:r>
              <w:t>49.8</w:t>
            </w:r>
          </w:p>
        </w:tc>
        <w:tc>
          <w:tcPr>
            <w:tcW w:w="953" w:type="dxa"/>
            <w:tcBorders>
              <w:top w:val="single" w:sz="4" w:space="0" w:color="000000"/>
              <w:left w:val="single" w:sz="8" w:space="0" w:color="000000"/>
              <w:bottom w:val="single" w:sz="8" w:space="0" w:color="000000"/>
              <w:right w:val="single" w:sz="8" w:space="0" w:color="000000"/>
            </w:tcBorders>
            <w:vAlign w:val="center"/>
          </w:tcPr>
          <w:p w14:paraId="0127FF43" w14:textId="77777777" w:rsidR="009972A6" w:rsidRPr="0033055B" w:rsidRDefault="00724C64" w:rsidP="009972A6">
            <w:pPr>
              <w:spacing w:after="160" w:line="276" w:lineRule="auto"/>
              <w:jc w:val="center"/>
              <w:rPr>
                <w:rFonts w:cstheme="minorHAnsi"/>
              </w:rPr>
            </w:pPr>
            <w:r>
              <w:t>183</w:t>
            </w:r>
          </w:p>
        </w:tc>
        <w:tc>
          <w:tcPr>
            <w:tcW w:w="935" w:type="dxa"/>
            <w:tcBorders>
              <w:top w:val="single" w:sz="4" w:space="0" w:color="000000"/>
              <w:left w:val="single" w:sz="8" w:space="0" w:color="000000"/>
              <w:bottom w:val="single" w:sz="8" w:space="0" w:color="000000"/>
              <w:right w:val="single" w:sz="8" w:space="0" w:color="000000"/>
            </w:tcBorders>
            <w:vAlign w:val="center"/>
          </w:tcPr>
          <w:p w14:paraId="76784CF5" w14:textId="77777777" w:rsidR="009972A6" w:rsidRPr="0033055B" w:rsidRDefault="00724C64" w:rsidP="009972A6">
            <w:pPr>
              <w:spacing w:after="160" w:line="276" w:lineRule="auto"/>
              <w:jc w:val="center"/>
              <w:rPr>
                <w:rFonts w:cstheme="minorHAnsi"/>
              </w:rPr>
            </w:pPr>
            <w:r>
              <w:t>49.8</w:t>
            </w:r>
          </w:p>
        </w:tc>
        <w:tc>
          <w:tcPr>
            <w:tcW w:w="1111" w:type="dxa"/>
            <w:tcBorders>
              <w:top w:val="single" w:sz="4" w:space="0" w:color="000000"/>
              <w:left w:val="single" w:sz="8" w:space="0" w:color="000000"/>
              <w:bottom w:val="single" w:sz="8" w:space="0" w:color="000000"/>
              <w:right w:val="single" w:sz="8" w:space="0" w:color="000000"/>
            </w:tcBorders>
            <w:vAlign w:val="center"/>
          </w:tcPr>
          <w:p w14:paraId="002D45E0" w14:textId="77777777" w:rsidR="009972A6" w:rsidRPr="0033055B" w:rsidRDefault="00724C64" w:rsidP="009972A6">
            <w:pPr>
              <w:spacing w:after="160" w:line="276" w:lineRule="auto"/>
              <w:jc w:val="center"/>
              <w:rPr>
                <w:rFonts w:cstheme="minorHAnsi"/>
              </w:rPr>
            </w:pPr>
            <w:r>
              <w:t>183</w:t>
            </w:r>
          </w:p>
        </w:tc>
        <w:tc>
          <w:tcPr>
            <w:tcW w:w="936" w:type="dxa"/>
            <w:tcBorders>
              <w:top w:val="single" w:sz="4" w:space="0" w:color="000000"/>
              <w:left w:val="single" w:sz="8" w:space="0" w:color="000000"/>
              <w:bottom w:val="single" w:sz="8" w:space="0" w:color="000000"/>
              <w:right w:val="single" w:sz="8" w:space="0" w:color="000000"/>
            </w:tcBorders>
            <w:vAlign w:val="center"/>
          </w:tcPr>
          <w:p w14:paraId="63DE4C8F" w14:textId="77777777" w:rsidR="009972A6" w:rsidRPr="0033055B" w:rsidRDefault="00724C64" w:rsidP="009972A6">
            <w:pPr>
              <w:spacing w:after="160" w:line="276" w:lineRule="auto"/>
              <w:jc w:val="center"/>
              <w:rPr>
                <w:rFonts w:cstheme="minorHAnsi"/>
              </w:rPr>
            </w:pPr>
            <w:r>
              <w:t>49.8</w:t>
            </w:r>
          </w:p>
        </w:tc>
        <w:tc>
          <w:tcPr>
            <w:tcW w:w="1111" w:type="dxa"/>
            <w:tcBorders>
              <w:top w:val="single" w:sz="4" w:space="0" w:color="000000"/>
              <w:left w:val="single" w:sz="8" w:space="0" w:color="000000"/>
              <w:bottom w:val="single" w:sz="8" w:space="0" w:color="000000"/>
              <w:right w:val="single" w:sz="8" w:space="0" w:color="000000"/>
            </w:tcBorders>
            <w:vAlign w:val="center"/>
          </w:tcPr>
          <w:p w14:paraId="622BEDE7" w14:textId="77777777" w:rsidR="009972A6" w:rsidRPr="0033055B" w:rsidRDefault="00724C64" w:rsidP="009972A6">
            <w:pPr>
              <w:spacing w:after="160" w:line="276" w:lineRule="auto"/>
              <w:jc w:val="center"/>
              <w:rPr>
                <w:rFonts w:cstheme="minorHAnsi"/>
              </w:rPr>
            </w:pPr>
            <w:r>
              <w:t>183</w:t>
            </w:r>
          </w:p>
        </w:tc>
        <w:tc>
          <w:tcPr>
            <w:tcW w:w="935" w:type="dxa"/>
            <w:tcBorders>
              <w:top w:val="single" w:sz="4" w:space="0" w:color="000000"/>
              <w:left w:val="single" w:sz="8" w:space="0" w:color="000000"/>
              <w:bottom w:val="single" w:sz="8" w:space="0" w:color="000000"/>
              <w:right w:val="single" w:sz="8" w:space="0" w:color="000000"/>
            </w:tcBorders>
            <w:vAlign w:val="center"/>
          </w:tcPr>
          <w:p w14:paraId="4A52AAFB" w14:textId="77777777" w:rsidR="009972A6" w:rsidRPr="0033055B" w:rsidRDefault="00724C64" w:rsidP="009972A6">
            <w:pPr>
              <w:spacing w:after="160" w:line="276" w:lineRule="auto"/>
              <w:jc w:val="center"/>
              <w:rPr>
                <w:rFonts w:cstheme="minorHAnsi"/>
              </w:rPr>
            </w:pPr>
            <w:r>
              <w:t>49.8</w:t>
            </w:r>
          </w:p>
        </w:tc>
        <w:tc>
          <w:tcPr>
            <w:tcW w:w="1112" w:type="dxa"/>
            <w:tcBorders>
              <w:top w:val="single" w:sz="4" w:space="0" w:color="000000"/>
              <w:left w:val="single" w:sz="8" w:space="0" w:color="000000"/>
              <w:bottom w:val="single" w:sz="8" w:space="0" w:color="000000"/>
              <w:right w:val="single" w:sz="8" w:space="0" w:color="000000"/>
            </w:tcBorders>
            <w:vAlign w:val="center"/>
          </w:tcPr>
          <w:p w14:paraId="607646E2" w14:textId="77777777" w:rsidR="009972A6" w:rsidRPr="0033055B" w:rsidRDefault="00724C64" w:rsidP="009972A6">
            <w:pPr>
              <w:spacing w:after="160" w:line="276" w:lineRule="auto"/>
              <w:jc w:val="center"/>
              <w:rPr>
                <w:rFonts w:cstheme="minorHAnsi"/>
              </w:rPr>
            </w:pPr>
            <w:r>
              <w:t>183</w:t>
            </w:r>
          </w:p>
        </w:tc>
        <w:tc>
          <w:tcPr>
            <w:tcW w:w="886" w:type="dxa"/>
            <w:tcBorders>
              <w:top w:val="single" w:sz="4" w:space="0" w:color="000000"/>
              <w:left w:val="single" w:sz="8" w:space="0" w:color="000000"/>
              <w:bottom w:val="single" w:sz="8" w:space="0" w:color="000000"/>
              <w:right w:val="single" w:sz="8" w:space="0" w:color="000000"/>
            </w:tcBorders>
            <w:vAlign w:val="center"/>
          </w:tcPr>
          <w:p w14:paraId="348A34ED" w14:textId="77777777" w:rsidR="009972A6" w:rsidRPr="0033055B" w:rsidRDefault="00724C64" w:rsidP="009972A6">
            <w:pPr>
              <w:spacing w:after="160" w:line="276" w:lineRule="auto"/>
              <w:jc w:val="center"/>
              <w:rPr>
                <w:rFonts w:cstheme="minorHAnsi"/>
              </w:rPr>
            </w:pPr>
            <w:r>
              <w:t>49.8</w:t>
            </w:r>
          </w:p>
        </w:tc>
        <w:tc>
          <w:tcPr>
            <w:tcW w:w="915" w:type="dxa"/>
            <w:tcBorders>
              <w:top w:val="single" w:sz="4" w:space="0" w:color="000000"/>
              <w:left w:val="single" w:sz="8" w:space="0" w:color="000000"/>
              <w:bottom w:val="single" w:sz="8" w:space="0" w:color="000000"/>
              <w:right w:val="single" w:sz="8" w:space="0" w:color="000000"/>
            </w:tcBorders>
            <w:vAlign w:val="center"/>
          </w:tcPr>
          <w:p w14:paraId="351D465C" w14:textId="77777777" w:rsidR="009972A6" w:rsidRPr="0033055B" w:rsidRDefault="00724C64" w:rsidP="009972A6">
            <w:pPr>
              <w:spacing w:after="160" w:line="276" w:lineRule="auto"/>
              <w:jc w:val="center"/>
              <w:rPr>
                <w:rFonts w:cstheme="minorHAnsi"/>
              </w:rPr>
            </w:pPr>
            <w:r>
              <w:t>183</w:t>
            </w:r>
          </w:p>
        </w:tc>
      </w:tr>
      <w:tr w:rsidR="00C35FA9" w:rsidRPr="0033055B" w14:paraId="198EE710" w14:textId="77777777" w:rsidTr="003E6550">
        <w:trPr>
          <w:trHeight w:val="247"/>
          <w:jc w:val="center"/>
        </w:trPr>
        <w:tc>
          <w:tcPr>
            <w:tcW w:w="2560" w:type="dxa"/>
            <w:tcBorders>
              <w:top w:val="single" w:sz="8" w:space="0" w:color="000000"/>
              <w:left w:val="single" w:sz="8" w:space="0" w:color="000000"/>
              <w:bottom w:val="single" w:sz="8" w:space="0" w:color="000000"/>
              <w:right w:val="single" w:sz="8" w:space="0" w:color="000000"/>
            </w:tcBorders>
          </w:tcPr>
          <w:p w14:paraId="6FC5E9DC" w14:textId="77777777" w:rsidR="00963AB6" w:rsidRPr="0033055B" w:rsidRDefault="00724C64" w:rsidP="003E6550">
            <w:pPr>
              <w:spacing w:after="160" w:line="276" w:lineRule="auto"/>
              <w:ind w:left="140"/>
              <w:jc w:val="center"/>
              <w:rPr>
                <w:rFonts w:cstheme="minorHAnsi"/>
              </w:rPr>
            </w:pPr>
            <w:r>
              <w:rPr>
                <w:i/>
              </w:rPr>
              <w:t>Prej të cilave pompim</w:t>
            </w:r>
          </w:p>
        </w:tc>
        <w:tc>
          <w:tcPr>
            <w:tcW w:w="933" w:type="dxa"/>
            <w:tcBorders>
              <w:top w:val="single" w:sz="8" w:space="0" w:color="000000"/>
              <w:left w:val="single" w:sz="8" w:space="0" w:color="000000"/>
              <w:bottom w:val="single" w:sz="8" w:space="0" w:color="000000"/>
              <w:right w:val="single" w:sz="8" w:space="0" w:color="000000"/>
            </w:tcBorders>
            <w:vAlign w:val="center"/>
          </w:tcPr>
          <w:p w14:paraId="16A98141" w14:textId="77777777" w:rsidR="00963AB6" w:rsidRPr="0033055B" w:rsidRDefault="00963AB6" w:rsidP="003E6550">
            <w:pPr>
              <w:spacing w:after="160" w:line="276" w:lineRule="auto"/>
              <w:jc w:val="center"/>
              <w:rPr>
                <w:rFonts w:cstheme="minorHAnsi"/>
                <w:lang w:val="en-GB"/>
              </w:rPr>
            </w:pPr>
          </w:p>
        </w:tc>
        <w:tc>
          <w:tcPr>
            <w:tcW w:w="935" w:type="dxa"/>
            <w:tcBorders>
              <w:top w:val="single" w:sz="8" w:space="0" w:color="000000"/>
              <w:left w:val="single" w:sz="8" w:space="0" w:color="000000"/>
              <w:bottom w:val="single" w:sz="8" w:space="0" w:color="000000"/>
              <w:right w:val="single" w:sz="8" w:space="0" w:color="000000"/>
            </w:tcBorders>
            <w:vAlign w:val="center"/>
          </w:tcPr>
          <w:p w14:paraId="7FD0567A" w14:textId="77777777" w:rsidR="00963AB6" w:rsidRPr="0033055B" w:rsidRDefault="00963AB6" w:rsidP="003E6550">
            <w:pPr>
              <w:spacing w:after="160" w:line="276" w:lineRule="auto"/>
              <w:jc w:val="center"/>
              <w:rPr>
                <w:rFonts w:cstheme="minorHAnsi"/>
                <w:lang w:val="en-GB"/>
              </w:rPr>
            </w:pPr>
          </w:p>
        </w:tc>
        <w:tc>
          <w:tcPr>
            <w:tcW w:w="936" w:type="dxa"/>
            <w:tcBorders>
              <w:top w:val="single" w:sz="8" w:space="0" w:color="000000"/>
              <w:left w:val="single" w:sz="8" w:space="0" w:color="000000"/>
              <w:bottom w:val="single" w:sz="8" w:space="0" w:color="000000"/>
              <w:right w:val="single" w:sz="8" w:space="0" w:color="000000"/>
            </w:tcBorders>
            <w:vAlign w:val="center"/>
          </w:tcPr>
          <w:p w14:paraId="76928B8A" w14:textId="77777777" w:rsidR="00963AB6" w:rsidRPr="0033055B" w:rsidRDefault="00963AB6" w:rsidP="003E6550">
            <w:pPr>
              <w:spacing w:after="160" w:line="276" w:lineRule="auto"/>
              <w:jc w:val="center"/>
              <w:rPr>
                <w:rFonts w:cstheme="minorHAnsi"/>
                <w:lang w:val="en-GB"/>
              </w:rPr>
            </w:pPr>
          </w:p>
        </w:tc>
        <w:tc>
          <w:tcPr>
            <w:tcW w:w="953" w:type="dxa"/>
            <w:tcBorders>
              <w:top w:val="single" w:sz="8" w:space="0" w:color="000000"/>
              <w:left w:val="single" w:sz="8" w:space="0" w:color="000000"/>
              <w:bottom w:val="single" w:sz="8" w:space="0" w:color="000000"/>
              <w:right w:val="single" w:sz="8" w:space="0" w:color="000000"/>
            </w:tcBorders>
            <w:vAlign w:val="center"/>
          </w:tcPr>
          <w:p w14:paraId="6F002BD6" w14:textId="77777777" w:rsidR="00963AB6" w:rsidRPr="0033055B" w:rsidRDefault="00963AB6" w:rsidP="003E6550">
            <w:pPr>
              <w:spacing w:after="160" w:line="276" w:lineRule="auto"/>
              <w:jc w:val="center"/>
              <w:rPr>
                <w:rFonts w:cstheme="minorHAnsi"/>
                <w:lang w:val="en-GB"/>
              </w:rPr>
            </w:pPr>
          </w:p>
        </w:tc>
        <w:tc>
          <w:tcPr>
            <w:tcW w:w="935" w:type="dxa"/>
            <w:tcBorders>
              <w:top w:val="single" w:sz="8" w:space="0" w:color="000000"/>
              <w:left w:val="single" w:sz="8" w:space="0" w:color="000000"/>
              <w:bottom w:val="single" w:sz="8" w:space="0" w:color="000000"/>
              <w:right w:val="single" w:sz="8" w:space="0" w:color="000000"/>
            </w:tcBorders>
            <w:vAlign w:val="center"/>
          </w:tcPr>
          <w:p w14:paraId="749E9093" w14:textId="77777777" w:rsidR="00963AB6" w:rsidRPr="0033055B" w:rsidRDefault="00963AB6" w:rsidP="003E6550">
            <w:pPr>
              <w:spacing w:after="160" w:line="276" w:lineRule="auto"/>
              <w:jc w:val="center"/>
              <w:rPr>
                <w:rFonts w:cstheme="minorHAnsi"/>
                <w:lang w:val="en-GB"/>
              </w:rPr>
            </w:pPr>
          </w:p>
        </w:tc>
        <w:tc>
          <w:tcPr>
            <w:tcW w:w="1111" w:type="dxa"/>
            <w:tcBorders>
              <w:top w:val="single" w:sz="8" w:space="0" w:color="000000"/>
              <w:left w:val="single" w:sz="8" w:space="0" w:color="000000"/>
              <w:bottom w:val="single" w:sz="8" w:space="0" w:color="000000"/>
              <w:right w:val="single" w:sz="8" w:space="0" w:color="000000"/>
            </w:tcBorders>
            <w:vAlign w:val="center"/>
          </w:tcPr>
          <w:p w14:paraId="021D3D89" w14:textId="77777777" w:rsidR="00963AB6" w:rsidRPr="0033055B" w:rsidRDefault="00963AB6" w:rsidP="003E6550">
            <w:pPr>
              <w:spacing w:after="160" w:line="276" w:lineRule="auto"/>
              <w:jc w:val="center"/>
              <w:rPr>
                <w:rFonts w:cstheme="minorHAnsi"/>
                <w:lang w:val="en-GB"/>
              </w:rPr>
            </w:pPr>
          </w:p>
        </w:tc>
        <w:tc>
          <w:tcPr>
            <w:tcW w:w="936" w:type="dxa"/>
            <w:tcBorders>
              <w:top w:val="single" w:sz="8" w:space="0" w:color="000000"/>
              <w:left w:val="single" w:sz="8" w:space="0" w:color="000000"/>
              <w:bottom w:val="single" w:sz="8" w:space="0" w:color="000000"/>
              <w:right w:val="single" w:sz="8" w:space="0" w:color="000000"/>
            </w:tcBorders>
            <w:vAlign w:val="center"/>
          </w:tcPr>
          <w:p w14:paraId="36CE5410" w14:textId="77777777" w:rsidR="00963AB6" w:rsidRPr="0033055B" w:rsidRDefault="00963AB6" w:rsidP="003E6550">
            <w:pPr>
              <w:spacing w:after="160" w:line="276" w:lineRule="auto"/>
              <w:jc w:val="center"/>
              <w:rPr>
                <w:rFonts w:cstheme="minorHAnsi"/>
                <w:lang w:val="en-GB"/>
              </w:rPr>
            </w:pPr>
          </w:p>
        </w:tc>
        <w:tc>
          <w:tcPr>
            <w:tcW w:w="1111" w:type="dxa"/>
            <w:tcBorders>
              <w:top w:val="single" w:sz="8" w:space="0" w:color="000000"/>
              <w:left w:val="single" w:sz="8" w:space="0" w:color="000000"/>
              <w:bottom w:val="single" w:sz="8" w:space="0" w:color="000000"/>
              <w:right w:val="single" w:sz="8" w:space="0" w:color="000000"/>
            </w:tcBorders>
            <w:vAlign w:val="center"/>
          </w:tcPr>
          <w:p w14:paraId="247BB27F" w14:textId="77777777" w:rsidR="00963AB6" w:rsidRPr="0033055B" w:rsidRDefault="00963AB6" w:rsidP="003E6550">
            <w:pPr>
              <w:spacing w:after="160" w:line="276" w:lineRule="auto"/>
              <w:jc w:val="center"/>
              <w:rPr>
                <w:rFonts w:cstheme="minorHAnsi"/>
                <w:lang w:val="en-GB"/>
              </w:rPr>
            </w:pPr>
          </w:p>
        </w:tc>
        <w:tc>
          <w:tcPr>
            <w:tcW w:w="935" w:type="dxa"/>
            <w:tcBorders>
              <w:top w:val="single" w:sz="8" w:space="0" w:color="000000"/>
              <w:left w:val="single" w:sz="8" w:space="0" w:color="000000"/>
              <w:bottom w:val="single" w:sz="8" w:space="0" w:color="000000"/>
              <w:right w:val="single" w:sz="8" w:space="0" w:color="000000"/>
            </w:tcBorders>
            <w:vAlign w:val="center"/>
          </w:tcPr>
          <w:p w14:paraId="387B83F6" w14:textId="77777777" w:rsidR="00963AB6" w:rsidRPr="0033055B" w:rsidRDefault="00963AB6" w:rsidP="003E6550">
            <w:pPr>
              <w:spacing w:after="160" w:line="276" w:lineRule="auto"/>
              <w:jc w:val="center"/>
              <w:rPr>
                <w:rFonts w:cstheme="minorHAnsi"/>
                <w:lang w:val="en-GB"/>
              </w:rPr>
            </w:pPr>
          </w:p>
        </w:tc>
        <w:tc>
          <w:tcPr>
            <w:tcW w:w="1112" w:type="dxa"/>
            <w:tcBorders>
              <w:top w:val="single" w:sz="8" w:space="0" w:color="000000"/>
              <w:left w:val="single" w:sz="8" w:space="0" w:color="000000"/>
              <w:bottom w:val="single" w:sz="8" w:space="0" w:color="000000"/>
              <w:right w:val="single" w:sz="8" w:space="0" w:color="000000"/>
            </w:tcBorders>
            <w:vAlign w:val="center"/>
          </w:tcPr>
          <w:p w14:paraId="75823554" w14:textId="77777777" w:rsidR="00963AB6" w:rsidRPr="0033055B" w:rsidRDefault="00963AB6" w:rsidP="003E6550">
            <w:pPr>
              <w:spacing w:after="160" w:line="276" w:lineRule="auto"/>
              <w:jc w:val="center"/>
              <w:rPr>
                <w:rFonts w:cstheme="minorHAnsi"/>
                <w:lang w:val="en-GB"/>
              </w:rPr>
            </w:pPr>
          </w:p>
        </w:tc>
        <w:tc>
          <w:tcPr>
            <w:tcW w:w="886" w:type="dxa"/>
            <w:tcBorders>
              <w:top w:val="single" w:sz="8" w:space="0" w:color="000000"/>
              <w:left w:val="single" w:sz="8" w:space="0" w:color="000000"/>
              <w:bottom w:val="single" w:sz="8" w:space="0" w:color="000000"/>
              <w:right w:val="single" w:sz="8" w:space="0" w:color="000000"/>
            </w:tcBorders>
            <w:vAlign w:val="center"/>
          </w:tcPr>
          <w:p w14:paraId="1F44C3DD" w14:textId="77777777" w:rsidR="00963AB6" w:rsidRPr="0033055B" w:rsidRDefault="00963AB6" w:rsidP="003E6550">
            <w:pPr>
              <w:spacing w:after="160" w:line="276" w:lineRule="auto"/>
              <w:jc w:val="center"/>
              <w:rPr>
                <w:rFonts w:cstheme="minorHAnsi"/>
                <w:lang w:val="en-GB"/>
              </w:rPr>
            </w:pPr>
          </w:p>
        </w:tc>
        <w:tc>
          <w:tcPr>
            <w:tcW w:w="915" w:type="dxa"/>
            <w:tcBorders>
              <w:top w:val="single" w:sz="8" w:space="0" w:color="000000"/>
              <w:left w:val="single" w:sz="8" w:space="0" w:color="000000"/>
              <w:bottom w:val="single" w:sz="8" w:space="0" w:color="000000"/>
              <w:right w:val="single" w:sz="8" w:space="0" w:color="000000"/>
            </w:tcBorders>
            <w:vAlign w:val="center"/>
          </w:tcPr>
          <w:p w14:paraId="2C1AC1F0" w14:textId="77777777" w:rsidR="00963AB6" w:rsidRPr="0033055B" w:rsidRDefault="00963AB6" w:rsidP="003E6550">
            <w:pPr>
              <w:spacing w:after="160" w:line="276" w:lineRule="auto"/>
              <w:jc w:val="center"/>
              <w:rPr>
                <w:rFonts w:cstheme="minorHAnsi"/>
                <w:lang w:val="en-GB"/>
              </w:rPr>
            </w:pPr>
          </w:p>
        </w:tc>
      </w:tr>
      <w:tr w:rsidR="00C35FA9" w:rsidRPr="0033055B" w14:paraId="01B30FF7" w14:textId="77777777" w:rsidTr="003E6550">
        <w:trPr>
          <w:trHeight w:val="247"/>
          <w:jc w:val="center"/>
        </w:trPr>
        <w:tc>
          <w:tcPr>
            <w:tcW w:w="2560" w:type="dxa"/>
            <w:tcBorders>
              <w:top w:val="single" w:sz="8" w:space="0" w:color="000000"/>
              <w:left w:val="single" w:sz="8" w:space="0" w:color="000000"/>
              <w:bottom w:val="single" w:sz="8" w:space="0" w:color="000000"/>
              <w:right w:val="single" w:sz="8" w:space="0" w:color="000000"/>
            </w:tcBorders>
          </w:tcPr>
          <w:p w14:paraId="1A43003F" w14:textId="77777777" w:rsidR="00963AB6" w:rsidRPr="0033055B" w:rsidRDefault="00724C64" w:rsidP="003E6550">
            <w:pPr>
              <w:spacing w:after="160" w:line="276" w:lineRule="auto"/>
              <w:jc w:val="center"/>
              <w:rPr>
                <w:rFonts w:cstheme="minorHAnsi"/>
              </w:rPr>
            </w:pPr>
            <w:r>
              <w:t>Gjeotermik</w:t>
            </w:r>
          </w:p>
        </w:tc>
        <w:tc>
          <w:tcPr>
            <w:tcW w:w="933" w:type="dxa"/>
            <w:tcBorders>
              <w:top w:val="single" w:sz="8" w:space="0" w:color="000000"/>
              <w:left w:val="single" w:sz="8" w:space="0" w:color="000000"/>
              <w:bottom w:val="single" w:sz="8" w:space="0" w:color="000000"/>
              <w:right w:val="single" w:sz="8" w:space="0" w:color="000000"/>
            </w:tcBorders>
            <w:vAlign w:val="center"/>
          </w:tcPr>
          <w:p w14:paraId="176D238B" w14:textId="77777777" w:rsidR="00963AB6" w:rsidRPr="0033055B" w:rsidRDefault="00963AB6" w:rsidP="003E6550">
            <w:pPr>
              <w:spacing w:after="160" w:line="276" w:lineRule="auto"/>
              <w:jc w:val="center"/>
              <w:rPr>
                <w:rFonts w:cstheme="minorHAnsi"/>
                <w:lang w:val="en-GB"/>
              </w:rPr>
            </w:pPr>
          </w:p>
        </w:tc>
        <w:tc>
          <w:tcPr>
            <w:tcW w:w="935" w:type="dxa"/>
            <w:tcBorders>
              <w:top w:val="single" w:sz="8" w:space="0" w:color="000000"/>
              <w:left w:val="single" w:sz="8" w:space="0" w:color="000000"/>
              <w:bottom w:val="single" w:sz="8" w:space="0" w:color="000000"/>
              <w:right w:val="single" w:sz="8" w:space="0" w:color="000000"/>
            </w:tcBorders>
            <w:vAlign w:val="center"/>
          </w:tcPr>
          <w:p w14:paraId="50F936E1" w14:textId="77777777" w:rsidR="00963AB6" w:rsidRPr="0033055B" w:rsidRDefault="00963AB6" w:rsidP="003E6550">
            <w:pPr>
              <w:spacing w:after="160" w:line="276" w:lineRule="auto"/>
              <w:jc w:val="center"/>
              <w:rPr>
                <w:rFonts w:cstheme="minorHAnsi"/>
                <w:lang w:val="en-GB"/>
              </w:rPr>
            </w:pPr>
          </w:p>
        </w:tc>
        <w:tc>
          <w:tcPr>
            <w:tcW w:w="936" w:type="dxa"/>
            <w:tcBorders>
              <w:top w:val="single" w:sz="8" w:space="0" w:color="000000"/>
              <w:left w:val="single" w:sz="8" w:space="0" w:color="000000"/>
              <w:bottom w:val="single" w:sz="8" w:space="0" w:color="000000"/>
              <w:right w:val="single" w:sz="8" w:space="0" w:color="000000"/>
            </w:tcBorders>
            <w:vAlign w:val="center"/>
          </w:tcPr>
          <w:p w14:paraId="03BB361A" w14:textId="77777777" w:rsidR="00963AB6" w:rsidRPr="0033055B" w:rsidRDefault="00963AB6" w:rsidP="003E6550">
            <w:pPr>
              <w:spacing w:after="160" w:line="276" w:lineRule="auto"/>
              <w:jc w:val="center"/>
              <w:rPr>
                <w:rFonts w:cstheme="minorHAnsi"/>
                <w:lang w:val="en-GB"/>
              </w:rPr>
            </w:pPr>
          </w:p>
        </w:tc>
        <w:tc>
          <w:tcPr>
            <w:tcW w:w="953" w:type="dxa"/>
            <w:tcBorders>
              <w:top w:val="single" w:sz="8" w:space="0" w:color="000000"/>
              <w:left w:val="single" w:sz="8" w:space="0" w:color="000000"/>
              <w:bottom w:val="single" w:sz="8" w:space="0" w:color="000000"/>
              <w:right w:val="single" w:sz="8" w:space="0" w:color="000000"/>
            </w:tcBorders>
            <w:vAlign w:val="center"/>
          </w:tcPr>
          <w:p w14:paraId="40172730" w14:textId="77777777" w:rsidR="00963AB6" w:rsidRPr="0033055B" w:rsidRDefault="00963AB6" w:rsidP="003E6550">
            <w:pPr>
              <w:spacing w:after="160" w:line="276" w:lineRule="auto"/>
              <w:jc w:val="center"/>
              <w:rPr>
                <w:rFonts w:cstheme="minorHAnsi"/>
                <w:lang w:val="en-GB"/>
              </w:rPr>
            </w:pPr>
          </w:p>
        </w:tc>
        <w:tc>
          <w:tcPr>
            <w:tcW w:w="935" w:type="dxa"/>
            <w:tcBorders>
              <w:top w:val="single" w:sz="8" w:space="0" w:color="000000"/>
              <w:left w:val="single" w:sz="8" w:space="0" w:color="000000"/>
              <w:bottom w:val="single" w:sz="8" w:space="0" w:color="000000"/>
              <w:right w:val="single" w:sz="8" w:space="0" w:color="000000"/>
            </w:tcBorders>
            <w:vAlign w:val="center"/>
          </w:tcPr>
          <w:p w14:paraId="53472890" w14:textId="77777777" w:rsidR="00963AB6" w:rsidRPr="0033055B" w:rsidRDefault="00963AB6" w:rsidP="003E6550">
            <w:pPr>
              <w:spacing w:after="160" w:line="276" w:lineRule="auto"/>
              <w:jc w:val="center"/>
              <w:rPr>
                <w:rFonts w:cstheme="minorHAnsi"/>
                <w:lang w:val="en-GB"/>
              </w:rPr>
            </w:pPr>
          </w:p>
        </w:tc>
        <w:tc>
          <w:tcPr>
            <w:tcW w:w="1111" w:type="dxa"/>
            <w:tcBorders>
              <w:top w:val="single" w:sz="8" w:space="0" w:color="000000"/>
              <w:left w:val="single" w:sz="8" w:space="0" w:color="000000"/>
              <w:bottom w:val="single" w:sz="8" w:space="0" w:color="000000"/>
              <w:right w:val="single" w:sz="8" w:space="0" w:color="000000"/>
            </w:tcBorders>
            <w:vAlign w:val="center"/>
          </w:tcPr>
          <w:p w14:paraId="6BEC0B21" w14:textId="77777777" w:rsidR="00963AB6" w:rsidRPr="0033055B" w:rsidRDefault="00963AB6" w:rsidP="003E6550">
            <w:pPr>
              <w:spacing w:after="160" w:line="276" w:lineRule="auto"/>
              <w:jc w:val="center"/>
              <w:rPr>
                <w:rFonts w:cstheme="minorHAnsi"/>
                <w:lang w:val="en-GB"/>
              </w:rPr>
            </w:pPr>
          </w:p>
        </w:tc>
        <w:tc>
          <w:tcPr>
            <w:tcW w:w="936" w:type="dxa"/>
            <w:tcBorders>
              <w:top w:val="single" w:sz="8" w:space="0" w:color="000000"/>
              <w:left w:val="single" w:sz="8" w:space="0" w:color="000000"/>
              <w:bottom w:val="single" w:sz="8" w:space="0" w:color="000000"/>
              <w:right w:val="single" w:sz="8" w:space="0" w:color="000000"/>
            </w:tcBorders>
            <w:vAlign w:val="center"/>
          </w:tcPr>
          <w:p w14:paraId="5973E3A1" w14:textId="77777777" w:rsidR="00963AB6" w:rsidRPr="0033055B" w:rsidRDefault="00963AB6" w:rsidP="003E6550">
            <w:pPr>
              <w:spacing w:after="160" w:line="276" w:lineRule="auto"/>
              <w:jc w:val="center"/>
              <w:rPr>
                <w:rFonts w:cstheme="minorHAnsi"/>
                <w:lang w:val="en-GB"/>
              </w:rPr>
            </w:pPr>
          </w:p>
        </w:tc>
        <w:tc>
          <w:tcPr>
            <w:tcW w:w="1111" w:type="dxa"/>
            <w:tcBorders>
              <w:top w:val="single" w:sz="8" w:space="0" w:color="000000"/>
              <w:left w:val="single" w:sz="8" w:space="0" w:color="000000"/>
              <w:bottom w:val="single" w:sz="8" w:space="0" w:color="000000"/>
              <w:right w:val="single" w:sz="8" w:space="0" w:color="000000"/>
            </w:tcBorders>
            <w:vAlign w:val="center"/>
          </w:tcPr>
          <w:p w14:paraId="4DF06E08" w14:textId="77777777" w:rsidR="00963AB6" w:rsidRPr="0033055B" w:rsidRDefault="00963AB6" w:rsidP="003E6550">
            <w:pPr>
              <w:spacing w:after="160" w:line="276" w:lineRule="auto"/>
              <w:jc w:val="center"/>
              <w:rPr>
                <w:rFonts w:cstheme="minorHAnsi"/>
                <w:lang w:val="en-GB"/>
              </w:rPr>
            </w:pPr>
          </w:p>
        </w:tc>
        <w:tc>
          <w:tcPr>
            <w:tcW w:w="935" w:type="dxa"/>
            <w:tcBorders>
              <w:top w:val="single" w:sz="8" w:space="0" w:color="000000"/>
              <w:left w:val="single" w:sz="8" w:space="0" w:color="000000"/>
              <w:bottom w:val="single" w:sz="8" w:space="0" w:color="000000"/>
              <w:right w:val="single" w:sz="8" w:space="0" w:color="000000"/>
            </w:tcBorders>
            <w:vAlign w:val="center"/>
          </w:tcPr>
          <w:p w14:paraId="1BB9FAE1" w14:textId="77777777" w:rsidR="00963AB6" w:rsidRPr="0033055B" w:rsidRDefault="00963AB6" w:rsidP="003E6550">
            <w:pPr>
              <w:spacing w:after="160" w:line="276" w:lineRule="auto"/>
              <w:jc w:val="center"/>
              <w:rPr>
                <w:rFonts w:cstheme="minorHAnsi"/>
                <w:lang w:val="en-GB"/>
              </w:rPr>
            </w:pPr>
          </w:p>
        </w:tc>
        <w:tc>
          <w:tcPr>
            <w:tcW w:w="1112" w:type="dxa"/>
            <w:tcBorders>
              <w:top w:val="single" w:sz="8" w:space="0" w:color="000000"/>
              <w:left w:val="single" w:sz="8" w:space="0" w:color="000000"/>
              <w:bottom w:val="single" w:sz="8" w:space="0" w:color="000000"/>
              <w:right w:val="single" w:sz="8" w:space="0" w:color="000000"/>
            </w:tcBorders>
            <w:vAlign w:val="center"/>
          </w:tcPr>
          <w:p w14:paraId="48DA58A3" w14:textId="77777777" w:rsidR="00963AB6" w:rsidRPr="0033055B" w:rsidRDefault="00963AB6" w:rsidP="003E6550">
            <w:pPr>
              <w:spacing w:after="160" w:line="276" w:lineRule="auto"/>
              <w:jc w:val="center"/>
              <w:rPr>
                <w:rFonts w:cstheme="minorHAnsi"/>
                <w:lang w:val="en-GB"/>
              </w:rPr>
            </w:pPr>
          </w:p>
        </w:tc>
        <w:tc>
          <w:tcPr>
            <w:tcW w:w="886" w:type="dxa"/>
            <w:tcBorders>
              <w:top w:val="single" w:sz="8" w:space="0" w:color="000000"/>
              <w:left w:val="single" w:sz="8" w:space="0" w:color="000000"/>
              <w:bottom w:val="single" w:sz="8" w:space="0" w:color="000000"/>
              <w:right w:val="single" w:sz="8" w:space="0" w:color="000000"/>
            </w:tcBorders>
            <w:vAlign w:val="center"/>
          </w:tcPr>
          <w:p w14:paraId="7B874951" w14:textId="77777777" w:rsidR="00963AB6" w:rsidRPr="0033055B" w:rsidRDefault="00963AB6" w:rsidP="003E6550">
            <w:pPr>
              <w:spacing w:after="160" w:line="276" w:lineRule="auto"/>
              <w:jc w:val="center"/>
              <w:rPr>
                <w:rFonts w:cstheme="minorHAnsi"/>
                <w:lang w:val="en-GB"/>
              </w:rPr>
            </w:pPr>
          </w:p>
        </w:tc>
        <w:tc>
          <w:tcPr>
            <w:tcW w:w="915" w:type="dxa"/>
            <w:tcBorders>
              <w:top w:val="single" w:sz="8" w:space="0" w:color="000000"/>
              <w:left w:val="single" w:sz="8" w:space="0" w:color="000000"/>
              <w:bottom w:val="single" w:sz="8" w:space="0" w:color="000000"/>
              <w:right w:val="single" w:sz="8" w:space="0" w:color="000000"/>
            </w:tcBorders>
            <w:vAlign w:val="center"/>
          </w:tcPr>
          <w:p w14:paraId="10149C0B" w14:textId="77777777" w:rsidR="00963AB6" w:rsidRPr="0033055B" w:rsidRDefault="00963AB6" w:rsidP="003E6550">
            <w:pPr>
              <w:spacing w:after="160" w:line="276" w:lineRule="auto"/>
              <w:jc w:val="center"/>
              <w:rPr>
                <w:rFonts w:cstheme="minorHAnsi"/>
                <w:lang w:val="en-GB"/>
              </w:rPr>
            </w:pPr>
          </w:p>
        </w:tc>
      </w:tr>
      <w:tr w:rsidR="00C35FA9" w:rsidRPr="0033055B" w14:paraId="6001148A" w14:textId="77777777" w:rsidTr="003E6550">
        <w:trPr>
          <w:trHeight w:val="247"/>
          <w:jc w:val="center"/>
        </w:trPr>
        <w:tc>
          <w:tcPr>
            <w:tcW w:w="2560" w:type="dxa"/>
            <w:tcBorders>
              <w:top w:val="single" w:sz="8" w:space="0" w:color="000000"/>
              <w:left w:val="single" w:sz="8" w:space="0" w:color="000000"/>
              <w:bottom w:val="single" w:sz="8" w:space="0" w:color="000000"/>
              <w:right w:val="single" w:sz="8" w:space="0" w:color="000000"/>
            </w:tcBorders>
          </w:tcPr>
          <w:p w14:paraId="4D783286" w14:textId="77777777" w:rsidR="00963AB6" w:rsidRPr="0033055B" w:rsidRDefault="00724C64" w:rsidP="003E6550">
            <w:pPr>
              <w:spacing w:after="160" w:line="276" w:lineRule="auto"/>
              <w:jc w:val="center"/>
              <w:rPr>
                <w:rFonts w:cstheme="minorHAnsi"/>
              </w:rPr>
            </w:pPr>
            <w:r>
              <w:t>Diellor:</w:t>
            </w:r>
          </w:p>
        </w:tc>
        <w:tc>
          <w:tcPr>
            <w:tcW w:w="933" w:type="dxa"/>
            <w:tcBorders>
              <w:top w:val="single" w:sz="8" w:space="0" w:color="000000"/>
              <w:left w:val="single" w:sz="8" w:space="0" w:color="000000"/>
              <w:bottom w:val="single" w:sz="8" w:space="0" w:color="000000"/>
              <w:right w:val="single" w:sz="8" w:space="0" w:color="000000"/>
            </w:tcBorders>
            <w:vAlign w:val="center"/>
          </w:tcPr>
          <w:p w14:paraId="17371693" w14:textId="77777777" w:rsidR="00963AB6" w:rsidRPr="0033055B" w:rsidRDefault="00963AB6" w:rsidP="003E6550">
            <w:pPr>
              <w:spacing w:after="160" w:line="276" w:lineRule="auto"/>
              <w:jc w:val="center"/>
              <w:rPr>
                <w:rFonts w:cstheme="minorHAnsi"/>
                <w:lang w:val="en-GB"/>
              </w:rPr>
            </w:pPr>
          </w:p>
        </w:tc>
        <w:tc>
          <w:tcPr>
            <w:tcW w:w="935" w:type="dxa"/>
            <w:tcBorders>
              <w:top w:val="single" w:sz="8" w:space="0" w:color="000000"/>
              <w:left w:val="single" w:sz="8" w:space="0" w:color="000000"/>
              <w:bottom w:val="single" w:sz="8" w:space="0" w:color="000000"/>
              <w:right w:val="single" w:sz="8" w:space="0" w:color="000000"/>
            </w:tcBorders>
            <w:vAlign w:val="center"/>
          </w:tcPr>
          <w:p w14:paraId="3769D25B" w14:textId="77777777" w:rsidR="00963AB6" w:rsidRPr="0033055B" w:rsidRDefault="00963AB6" w:rsidP="003E6550">
            <w:pPr>
              <w:spacing w:after="160" w:line="276" w:lineRule="auto"/>
              <w:jc w:val="center"/>
              <w:rPr>
                <w:rFonts w:cstheme="minorHAnsi"/>
                <w:lang w:val="en-GB"/>
              </w:rPr>
            </w:pPr>
          </w:p>
        </w:tc>
        <w:tc>
          <w:tcPr>
            <w:tcW w:w="936" w:type="dxa"/>
            <w:tcBorders>
              <w:top w:val="single" w:sz="8" w:space="0" w:color="000000"/>
              <w:left w:val="single" w:sz="8" w:space="0" w:color="000000"/>
              <w:bottom w:val="single" w:sz="8" w:space="0" w:color="000000"/>
              <w:right w:val="single" w:sz="8" w:space="0" w:color="000000"/>
            </w:tcBorders>
            <w:vAlign w:val="center"/>
          </w:tcPr>
          <w:p w14:paraId="71B7B570" w14:textId="77777777" w:rsidR="00963AB6" w:rsidRPr="0033055B" w:rsidRDefault="00963AB6" w:rsidP="003E6550">
            <w:pPr>
              <w:spacing w:after="160" w:line="276" w:lineRule="auto"/>
              <w:jc w:val="center"/>
              <w:rPr>
                <w:rFonts w:cstheme="minorHAnsi"/>
                <w:lang w:val="en-GB"/>
              </w:rPr>
            </w:pPr>
          </w:p>
        </w:tc>
        <w:tc>
          <w:tcPr>
            <w:tcW w:w="953" w:type="dxa"/>
            <w:tcBorders>
              <w:top w:val="single" w:sz="8" w:space="0" w:color="000000"/>
              <w:left w:val="single" w:sz="8" w:space="0" w:color="000000"/>
              <w:bottom w:val="single" w:sz="8" w:space="0" w:color="000000"/>
              <w:right w:val="single" w:sz="8" w:space="0" w:color="000000"/>
            </w:tcBorders>
            <w:vAlign w:val="center"/>
          </w:tcPr>
          <w:p w14:paraId="2FB8755C" w14:textId="77777777" w:rsidR="00963AB6" w:rsidRPr="0033055B" w:rsidRDefault="00963AB6" w:rsidP="003E6550">
            <w:pPr>
              <w:spacing w:after="160" w:line="276" w:lineRule="auto"/>
              <w:jc w:val="center"/>
              <w:rPr>
                <w:rFonts w:cstheme="minorHAnsi"/>
                <w:lang w:val="en-GB"/>
              </w:rPr>
            </w:pPr>
          </w:p>
        </w:tc>
        <w:tc>
          <w:tcPr>
            <w:tcW w:w="935" w:type="dxa"/>
            <w:tcBorders>
              <w:top w:val="single" w:sz="8" w:space="0" w:color="000000"/>
              <w:left w:val="single" w:sz="8" w:space="0" w:color="000000"/>
              <w:bottom w:val="single" w:sz="8" w:space="0" w:color="000000"/>
              <w:right w:val="single" w:sz="8" w:space="0" w:color="000000"/>
            </w:tcBorders>
            <w:vAlign w:val="center"/>
          </w:tcPr>
          <w:p w14:paraId="527B2502" w14:textId="77777777" w:rsidR="00963AB6" w:rsidRPr="0033055B" w:rsidRDefault="00963AB6" w:rsidP="003E6550">
            <w:pPr>
              <w:spacing w:after="160" w:line="276" w:lineRule="auto"/>
              <w:jc w:val="center"/>
              <w:rPr>
                <w:rFonts w:cstheme="minorHAnsi"/>
                <w:lang w:val="en-GB"/>
              </w:rPr>
            </w:pPr>
          </w:p>
        </w:tc>
        <w:tc>
          <w:tcPr>
            <w:tcW w:w="1111" w:type="dxa"/>
            <w:tcBorders>
              <w:top w:val="single" w:sz="8" w:space="0" w:color="000000"/>
              <w:left w:val="single" w:sz="8" w:space="0" w:color="000000"/>
              <w:bottom w:val="single" w:sz="8" w:space="0" w:color="000000"/>
              <w:right w:val="single" w:sz="8" w:space="0" w:color="000000"/>
            </w:tcBorders>
            <w:vAlign w:val="center"/>
          </w:tcPr>
          <w:p w14:paraId="5947AEB8" w14:textId="77777777" w:rsidR="00963AB6" w:rsidRPr="0033055B" w:rsidRDefault="00963AB6" w:rsidP="003E6550">
            <w:pPr>
              <w:spacing w:after="160" w:line="276" w:lineRule="auto"/>
              <w:jc w:val="center"/>
              <w:rPr>
                <w:rFonts w:cstheme="minorHAnsi"/>
                <w:lang w:val="en-GB"/>
              </w:rPr>
            </w:pPr>
          </w:p>
        </w:tc>
        <w:tc>
          <w:tcPr>
            <w:tcW w:w="936" w:type="dxa"/>
            <w:tcBorders>
              <w:top w:val="single" w:sz="8" w:space="0" w:color="000000"/>
              <w:left w:val="single" w:sz="8" w:space="0" w:color="000000"/>
              <w:bottom w:val="single" w:sz="8" w:space="0" w:color="000000"/>
              <w:right w:val="single" w:sz="8" w:space="0" w:color="000000"/>
            </w:tcBorders>
            <w:vAlign w:val="center"/>
          </w:tcPr>
          <w:p w14:paraId="2E069F63" w14:textId="77777777" w:rsidR="00963AB6" w:rsidRPr="0033055B" w:rsidRDefault="00963AB6" w:rsidP="003E6550">
            <w:pPr>
              <w:spacing w:after="160" w:line="276" w:lineRule="auto"/>
              <w:jc w:val="center"/>
              <w:rPr>
                <w:rFonts w:cstheme="minorHAnsi"/>
                <w:lang w:val="en-GB"/>
              </w:rPr>
            </w:pPr>
          </w:p>
        </w:tc>
        <w:tc>
          <w:tcPr>
            <w:tcW w:w="1111" w:type="dxa"/>
            <w:tcBorders>
              <w:top w:val="single" w:sz="8" w:space="0" w:color="000000"/>
              <w:left w:val="single" w:sz="8" w:space="0" w:color="000000"/>
              <w:bottom w:val="single" w:sz="8" w:space="0" w:color="000000"/>
              <w:right w:val="single" w:sz="8" w:space="0" w:color="000000"/>
            </w:tcBorders>
            <w:vAlign w:val="center"/>
          </w:tcPr>
          <w:p w14:paraId="4F1D6AF0" w14:textId="77777777" w:rsidR="00963AB6" w:rsidRPr="0033055B" w:rsidRDefault="00963AB6" w:rsidP="003E6550">
            <w:pPr>
              <w:spacing w:after="160" w:line="276" w:lineRule="auto"/>
              <w:jc w:val="center"/>
              <w:rPr>
                <w:rFonts w:cstheme="minorHAnsi"/>
                <w:lang w:val="en-GB"/>
              </w:rPr>
            </w:pPr>
          </w:p>
        </w:tc>
        <w:tc>
          <w:tcPr>
            <w:tcW w:w="935" w:type="dxa"/>
            <w:tcBorders>
              <w:top w:val="single" w:sz="8" w:space="0" w:color="000000"/>
              <w:left w:val="single" w:sz="8" w:space="0" w:color="000000"/>
              <w:bottom w:val="single" w:sz="8" w:space="0" w:color="000000"/>
              <w:right w:val="single" w:sz="8" w:space="0" w:color="000000"/>
            </w:tcBorders>
            <w:vAlign w:val="center"/>
          </w:tcPr>
          <w:p w14:paraId="369C4817" w14:textId="77777777" w:rsidR="00963AB6" w:rsidRPr="0033055B" w:rsidRDefault="00963AB6" w:rsidP="003E6550">
            <w:pPr>
              <w:spacing w:after="160" w:line="276" w:lineRule="auto"/>
              <w:jc w:val="center"/>
              <w:rPr>
                <w:rFonts w:cstheme="minorHAnsi"/>
                <w:lang w:val="en-GB"/>
              </w:rPr>
            </w:pPr>
          </w:p>
        </w:tc>
        <w:tc>
          <w:tcPr>
            <w:tcW w:w="1112" w:type="dxa"/>
            <w:tcBorders>
              <w:top w:val="single" w:sz="8" w:space="0" w:color="000000"/>
              <w:left w:val="single" w:sz="8" w:space="0" w:color="000000"/>
              <w:bottom w:val="single" w:sz="8" w:space="0" w:color="000000"/>
              <w:right w:val="single" w:sz="8" w:space="0" w:color="000000"/>
            </w:tcBorders>
            <w:vAlign w:val="center"/>
          </w:tcPr>
          <w:p w14:paraId="24865819" w14:textId="77777777" w:rsidR="00963AB6" w:rsidRPr="0033055B" w:rsidRDefault="00963AB6" w:rsidP="003E6550">
            <w:pPr>
              <w:spacing w:after="160" w:line="276" w:lineRule="auto"/>
              <w:jc w:val="center"/>
              <w:rPr>
                <w:rFonts w:cstheme="minorHAnsi"/>
                <w:lang w:val="en-GB"/>
              </w:rPr>
            </w:pPr>
          </w:p>
        </w:tc>
        <w:tc>
          <w:tcPr>
            <w:tcW w:w="886" w:type="dxa"/>
            <w:tcBorders>
              <w:top w:val="single" w:sz="8" w:space="0" w:color="000000"/>
              <w:left w:val="single" w:sz="8" w:space="0" w:color="000000"/>
              <w:bottom w:val="single" w:sz="8" w:space="0" w:color="000000"/>
              <w:right w:val="single" w:sz="8" w:space="0" w:color="000000"/>
            </w:tcBorders>
            <w:vAlign w:val="center"/>
          </w:tcPr>
          <w:p w14:paraId="50EE8455" w14:textId="77777777" w:rsidR="00963AB6" w:rsidRPr="0033055B" w:rsidRDefault="00963AB6" w:rsidP="003E6550">
            <w:pPr>
              <w:spacing w:after="160" w:line="276" w:lineRule="auto"/>
              <w:jc w:val="center"/>
              <w:rPr>
                <w:rFonts w:cstheme="minorHAnsi"/>
                <w:lang w:val="en-GB"/>
              </w:rPr>
            </w:pPr>
          </w:p>
        </w:tc>
        <w:tc>
          <w:tcPr>
            <w:tcW w:w="915" w:type="dxa"/>
            <w:tcBorders>
              <w:top w:val="single" w:sz="8" w:space="0" w:color="000000"/>
              <w:left w:val="single" w:sz="8" w:space="0" w:color="000000"/>
              <w:bottom w:val="single" w:sz="8" w:space="0" w:color="000000"/>
              <w:right w:val="single" w:sz="8" w:space="0" w:color="000000"/>
            </w:tcBorders>
            <w:vAlign w:val="center"/>
          </w:tcPr>
          <w:p w14:paraId="69579521" w14:textId="77777777" w:rsidR="00963AB6" w:rsidRPr="0033055B" w:rsidRDefault="00963AB6" w:rsidP="003E6550">
            <w:pPr>
              <w:spacing w:after="160" w:line="276" w:lineRule="auto"/>
              <w:jc w:val="center"/>
              <w:rPr>
                <w:rFonts w:cstheme="minorHAnsi"/>
                <w:lang w:val="en-GB"/>
              </w:rPr>
            </w:pPr>
          </w:p>
        </w:tc>
      </w:tr>
      <w:tr w:rsidR="00C35FA9" w:rsidRPr="0033055B" w14:paraId="363B3C67" w14:textId="77777777" w:rsidTr="003E6550">
        <w:trPr>
          <w:trHeight w:val="470"/>
          <w:jc w:val="center"/>
        </w:trPr>
        <w:tc>
          <w:tcPr>
            <w:tcW w:w="2560" w:type="dxa"/>
            <w:tcBorders>
              <w:top w:val="single" w:sz="8" w:space="0" w:color="000000"/>
              <w:left w:val="single" w:sz="8" w:space="0" w:color="000000"/>
              <w:bottom w:val="single" w:sz="4" w:space="0" w:color="000000"/>
              <w:right w:val="single" w:sz="8" w:space="0" w:color="000000"/>
            </w:tcBorders>
            <w:vAlign w:val="center"/>
          </w:tcPr>
          <w:p w14:paraId="247DCE26" w14:textId="77777777" w:rsidR="00963AB6" w:rsidRPr="0033055B" w:rsidRDefault="00724C64" w:rsidP="003E6550">
            <w:pPr>
              <w:spacing w:after="160" w:line="276" w:lineRule="auto"/>
              <w:ind w:left="140"/>
              <w:jc w:val="center"/>
              <w:rPr>
                <w:rFonts w:cstheme="minorHAnsi"/>
              </w:rPr>
            </w:pPr>
            <w:r>
              <w:rPr>
                <w:i/>
              </w:rPr>
              <w:t>fotovoltaik</w:t>
            </w:r>
          </w:p>
        </w:tc>
        <w:tc>
          <w:tcPr>
            <w:tcW w:w="933" w:type="dxa"/>
            <w:tcBorders>
              <w:top w:val="single" w:sz="8" w:space="0" w:color="000000"/>
              <w:left w:val="single" w:sz="8" w:space="0" w:color="000000"/>
              <w:bottom w:val="single" w:sz="4" w:space="0" w:color="000000"/>
              <w:right w:val="single" w:sz="8" w:space="0" w:color="000000"/>
            </w:tcBorders>
            <w:vAlign w:val="center"/>
          </w:tcPr>
          <w:p w14:paraId="095A3D62" w14:textId="77777777" w:rsidR="00963AB6" w:rsidRPr="0033055B" w:rsidRDefault="00963AB6" w:rsidP="003E6550">
            <w:pPr>
              <w:spacing w:after="160" w:line="276" w:lineRule="auto"/>
              <w:jc w:val="center"/>
              <w:rPr>
                <w:rFonts w:cstheme="minorHAnsi"/>
                <w:lang w:val="en-GB"/>
              </w:rPr>
            </w:pPr>
          </w:p>
        </w:tc>
        <w:tc>
          <w:tcPr>
            <w:tcW w:w="935" w:type="dxa"/>
            <w:tcBorders>
              <w:top w:val="single" w:sz="8" w:space="0" w:color="000000"/>
              <w:left w:val="single" w:sz="8" w:space="0" w:color="000000"/>
              <w:bottom w:val="single" w:sz="4" w:space="0" w:color="000000"/>
              <w:right w:val="single" w:sz="8" w:space="0" w:color="000000"/>
            </w:tcBorders>
            <w:vAlign w:val="center"/>
          </w:tcPr>
          <w:p w14:paraId="65F18734" w14:textId="77777777" w:rsidR="00963AB6" w:rsidRPr="0033055B" w:rsidRDefault="00963AB6" w:rsidP="003E6550">
            <w:pPr>
              <w:spacing w:after="160" w:line="276" w:lineRule="auto"/>
              <w:jc w:val="center"/>
              <w:rPr>
                <w:rFonts w:cstheme="minorHAnsi"/>
                <w:lang w:val="en-GB"/>
              </w:rPr>
            </w:pPr>
          </w:p>
        </w:tc>
        <w:tc>
          <w:tcPr>
            <w:tcW w:w="936" w:type="dxa"/>
            <w:tcBorders>
              <w:top w:val="single" w:sz="8" w:space="0" w:color="000000"/>
              <w:left w:val="single" w:sz="8" w:space="0" w:color="000000"/>
              <w:bottom w:val="single" w:sz="4" w:space="0" w:color="000000"/>
              <w:right w:val="single" w:sz="8" w:space="0" w:color="000000"/>
            </w:tcBorders>
            <w:vAlign w:val="center"/>
          </w:tcPr>
          <w:p w14:paraId="7DDCD557" w14:textId="77777777" w:rsidR="00963AB6" w:rsidRPr="0033055B" w:rsidRDefault="00724C64" w:rsidP="003E6550">
            <w:pPr>
              <w:spacing w:after="160" w:line="276" w:lineRule="auto"/>
              <w:jc w:val="center"/>
              <w:rPr>
                <w:rFonts w:cstheme="minorHAnsi"/>
              </w:rPr>
            </w:pPr>
            <w:r>
              <w:t>0.6</w:t>
            </w:r>
          </w:p>
        </w:tc>
        <w:tc>
          <w:tcPr>
            <w:tcW w:w="953" w:type="dxa"/>
            <w:tcBorders>
              <w:top w:val="single" w:sz="8" w:space="0" w:color="000000"/>
              <w:left w:val="single" w:sz="8" w:space="0" w:color="000000"/>
              <w:bottom w:val="single" w:sz="4" w:space="0" w:color="000000"/>
              <w:right w:val="single" w:sz="8" w:space="0" w:color="000000"/>
            </w:tcBorders>
            <w:vAlign w:val="center"/>
          </w:tcPr>
          <w:p w14:paraId="1BF169B0" w14:textId="77777777" w:rsidR="00963AB6" w:rsidRPr="0033055B" w:rsidRDefault="00724C64" w:rsidP="003E6550">
            <w:pPr>
              <w:spacing w:after="160" w:line="276" w:lineRule="auto"/>
              <w:jc w:val="center"/>
              <w:rPr>
                <w:rFonts w:cstheme="minorHAnsi"/>
              </w:rPr>
            </w:pPr>
            <w:r>
              <w:t>1</w:t>
            </w:r>
          </w:p>
        </w:tc>
        <w:tc>
          <w:tcPr>
            <w:tcW w:w="935" w:type="dxa"/>
            <w:tcBorders>
              <w:top w:val="single" w:sz="8" w:space="0" w:color="000000"/>
              <w:left w:val="single" w:sz="8" w:space="0" w:color="000000"/>
              <w:bottom w:val="single" w:sz="4" w:space="0" w:color="000000"/>
              <w:right w:val="single" w:sz="8" w:space="0" w:color="000000"/>
            </w:tcBorders>
            <w:vAlign w:val="center"/>
          </w:tcPr>
          <w:p w14:paraId="17703AD0" w14:textId="77777777" w:rsidR="00963AB6" w:rsidRPr="0033055B" w:rsidRDefault="00724C64" w:rsidP="003E6550">
            <w:pPr>
              <w:spacing w:after="160" w:line="276" w:lineRule="auto"/>
              <w:jc w:val="center"/>
              <w:rPr>
                <w:rFonts w:cstheme="minorHAnsi"/>
              </w:rPr>
            </w:pPr>
            <w:r>
              <w:t>0.6</w:t>
            </w:r>
          </w:p>
        </w:tc>
        <w:tc>
          <w:tcPr>
            <w:tcW w:w="1111" w:type="dxa"/>
            <w:tcBorders>
              <w:top w:val="single" w:sz="8" w:space="0" w:color="000000"/>
              <w:left w:val="single" w:sz="8" w:space="0" w:color="000000"/>
              <w:bottom w:val="single" w:sz="4" w:space="0" w:color="000000"/>
              <w:right w:val="single" w:sz="8" w:space="0" w:color="000000"/>
            </w:tcBorders>
            <w:vAlign w:val="center"/>
          </w:tcPr>
          <w:p w14:paraId="478D080B" w14:textId="77777777" w:rsidR="00963AB6" w:rsidRPr="0033055B" w:rsidRDefault="00724C64" w:rsidP="003E6550">
            <w:pPr>
              <w:spacing w:after="160" w:line="276" w:lineRule="auto"/>
              <w:jc w:val="center"/>
              <w:rPr>
                <w:rFonts w:cstheme="minorHAnsi"/>
              </w:rPr>
            </w:pPr>
            <w:r>
              <w:t>1</w:t>
            </w:r>
          </w:p>
        </w:tc>
        <w:tc>
          <w:tcPr>
            <w:tcW w:w="936" w:type="dxa"/>
            <w:tcBorders>
              <w:top w:val="single" w:sz="8" w:space="0" w:color="000000"/>
              <w:left w:val="single" w:sz="8" w:space="0" w:color="000000"/>
              <w:bottom w:val="single" w:sz="4" w:space="0" w:color="000000"/>
              <w:right w:val="single" w:sz="8" w:space="0" w:color="000000"/>
            </w:tcBorders>
            <w:vAlign w:val="center"/>
          </w:tcPr>
          <w:p w14:paraId="087A569B" w14:textId="77777777" w:rsidR="00963AB6" w:rsidRPr="0033055B" w:rsidRDefault="00724C64" w:rsidP="003E6550">
            <w:pPr>
              <w:spacing w:after="160" w:line="276" w:lineRule="auto"/>
              <w:jc w:val="center"/>
              <w:rPr>
                <w:rFonts w:cstheme="minorHAnsi"/>
              </w:rPr>
            </w:pPr>
            <w:r>
              <w:t>7</w:t>
            </w:r>
          </w:p>
        </w:tc>
        <w:tc>
          <w:tcPr>
            <w:tcW w:w="1111" w:type="dxa"/>
            <w:tcBorders>
              <w:top w:val="single" w:sz="8" w:space="0" w:color="000000"/>
              <w:left w:val="single" w:sz="8" w:space="0" w:color="000000"/>
              <w:bottom w:val="single" w:sz="4" w:space="0" w:color="000000"/>
              <w:right w:val="single" w:sz="8" w:space="0" w:color="000000"/>
            </w:tcBorders>
            <w:vAlign w:val="center"/>
          </w:tcPr>
          <w:p w14:paraId="58592C28" w14:textId="77777777" w:rsidR="00963AB6" w:rsidRPr="0033055B" w:rsidRDefault="00724C64" w:rsidP="003E6550">
            <w:pPr>
              <w:spacing w:after="160" w:line="276" w:lineRule="auto"/>
              <w:jc w:val="center"/>
              <w:rPr>
                <w:rFonts w:cstheme="minorHAnsi"/>
              </w:rPr>
            </w:pPr>
            <w:r>
              <w:t>9</w:t>
            </w:r>
          </w:p>
        </w:tc>
        <w:tc>
          <w:tcPr>
            <w:tcW w:w="935" w:type="dxa"/>
            <w:tcBorders>
              <w:top w:val="single" w:sz="8" w:space="0" w:color="000000"/>
              <w:left w:val="single" w:sz="8" w:space="0" w:color="000000"/>
              <w:bottom w:val="single" w:sz="4" w:space="0" w:color="000000"/>
              <w:right w:val="single" w:sz="8" w:space="0" w:color="000000"/>
            </w:tcBorders>
            <w:vAlign w:val="center"/>
          </w:tcPr>
          <w:p w14:paraId="6FFFEF0B" w14:textId="77777777" w:rsidR="00963AB6" w:rsidRPr="0033055B" w:rsidRDefault="00724C64" w:rsidP="003E6550">
            <w:pPr>
              <w:spacing w:after="160" w:line="276" w:lineRule="auto"/>
              <w:jc w:val="center"/>
              <w:rPr>
                <w:rFonts w:cstheme="minorHAnsi"/>
              </w:rPr>
            </w:pPr>
            <w:r>
              <w:t>10</w:t>
            </w:r>
          </w:p>
        </w:tc>
        <w:tc>
          <w:tcPr>
            <w:tcW w:w="1112" w:type="dxa"/>
            <w:tcBorders>
              <w:top w:val="single" w:sz="8" w:space="0" w:color="000000"/>
              <w:left w:val="single" w:sz="8" w:space="0" w:color="000000"/>
              <w:bottom w:val="single" w:sz="4" w:space="0" w:color="000000"/>
              <w:right w:val="single" w:sz="8" w:space="0" w:color="000000"/>
            </w:tcBorders>
            <w:vAlign w:val="center"/>
          </w:tcPr>
          <w:p w14:paraId="48826425" w14:textId="77777777" w:rsidR="00963AB6" w:rsidRPr="0033055B" w:rsidRDefault="00724C64" w:rsidP="003E6550">
            <w:pPr>
              <w:spacing w:after="160" w:line="276" w:lineRule="auto"/>
              <w:jc w:val="center"/>
              <w:rPr>
                <w:rFonts w:cstheme="minorHAnsi"/>
              </w:rPr>
            </w:pPr>
            <w:r>
              <w:t>12</w:t>
            </w:r>
          </w:p>
        </w:tc>
        <w:tc>
          <w:tcPr>
            <w:tcW w:w="886" w:type="dxa"/>
            <w:tcBorders>
              <w:top w:val="single" w:sz="8" w:space="0" w:color="000000"/>
              <w:left w:val="single" w:sz="8" w:space="0" w:color="000000"/>
              <w:bottom w:val="single" w:sz="4" w:space="0" w:color="000000"/>
              <w:right w:val="single" w:sz="8" w:space="0" w:color="000000"/>
            </w:tcBorders>
            <w:vAlign w:val="center"/>
          </w:tcPr>
          <w:p w14:paraId="4D48AFB0" w14:textId="77777777" w:rsidR="00963AB6" w:rsidRPr="0033055B" w:rsidRDefault="00724C64" w:rsidP="003E6550">
            <w:pPr>
              <w:spacing w:line="276" w:lineRule="auto"/>
              <w:jc w:val="center"/>
              <w:rPr>
                <w:rFonts w:cstheme="minorHAnsi"/>
              </w:rPr>
            </w:pPr>
            <w:r>
              <w:t>30</w:t>
            </w:r>
          </w:p>
        </w:tc>
        <w:tc>
          <w:tcPr>
            <w:tcW w:w="915" w:type="dxa"/>
            <w:tcBorders>
              <w:top w:val="single" w:sz="8" w:space="0" w:color="000000"/>
              <w:left w:val="single" w:sz="8" w:space="0" w:color="000000"/>
              <w:bottom w:val="single" w:sz="4" w:space="0" w:color="000000"/>
              <w:right w:val="single" w:sz="8" w:space="0" w:color="000000"/>
            </w:tcBorders>
            <w:vAlign w:val="center"/>
          </w:tcPr>
          <w:p w14:paraId="7888E161" w14:textId="77777777" w:rsidR="00963AB6" w:rsidRPr="0033055B" w:rsidRDefault="009972A6" w:rsidP="003E6550">
            <w:pPr>
              <w:spacing w:line="276" w:lineRule="auto"/>
              <w:jc w:val="center"/>
              <w:rPr>
                <w:rFonts w:cstheme="minorHAnsi"/>
              </w:rPr>
            </w:pPr>
            <w:r>
              <w:t>37</w:t>
            </w:r>
          </w:p>
        </w:tc>
      </w:tr>
      <w:tr w:rsidR="00C35FA9" w:rsidRPr="0033055B" w14:paraId="3931265B" w14:textId="77777777" w:rsidTr="003E6550">
        <w:trPr>
          <w:trHeight w:val="241"/>
          <w:jc w:val="center"/>
        </w:trPr>
        <w:tc>
          <w:tcPr>
            <w:tcW w:w="2560" w:type="dxa"/>
            <w:tcBorders>
              <w:top w:val="single" w:sz="4" w:space="0" w:color="000000"/>
              <w:left w:val="single" w:sz="8" w:space="0" w:color="000000"/>
              <w:bottom w:val="single" w:sz="8" w:space="0" w:color="000000"/>
              <w:right w:val="single" w:sz="8" w:space="0" w:color="000000"/>
            </w:tcBorders>
          </w:tcPr>
          <w:p w14:paraId="19890021" w14:textId="77777777" w:rsidR="00963AB6" w:rsidRPr="0033055B" w:rsidRDefault="00963AB6" w:rsidP="003E6550">
            <w:pPr>
              <w:spacing w:line="276" w:lineRule="auto"/>
              <w:ind w:left="140"/>
              <w:jc w:val="center"/>
              <w:rPr>
                <w:rFonts w:cstheme="minorHAnsi"/>
              </w:rPr>
            </w:pPr>
            <w:r>
              <w:rPr>
                <w:i/>
              </w:rPr>
              <w:t>Energji e koncentruar solare</w:t>
            </w:r>
          </w:p>
        </w:tc>
        <w:tc>
          <w:tcPr>
            <w:tcW w:w="933" w:type="dxa"/>
            <w:tcBorders>
              <w:top w:val="single" w:sz="4" w:space="0" w:color="000000"/>
              <w:left w:val="single" w:sz="8" w:space="0" w:color="000000"/>
              <w:bottom w:val="single" w:sz="8" w:space="0" w:color="000000"/>
              <w:right w:val="single" w:sz="8" w:space="0" w:color="000000"/>
            </w:tcBorders>
            <w:vAlign w:val="center"/>
          </w:tcPr>
          <w:p w14:paraId="37D6BB1E" w14:textId="77777777" w:rsidR="00963AB6" w:rsidRPr="0033055B" w:rsidRDefault="00963AB6" w:rsidP="003E6550">
            <w:pPr>
              <w:spacing w:line="276" w:lineRule="auto"/>
              <w:jc w:val="center"/>
              <w:rPr>
                <w:rFonts w:cstheme="minorHAnsi"/>
                <w:lang w:val="en-GB"/>
              </w:rPr>
            </w:pPr>
          </w:p>
        </w:tc>
        <w:tc>
          <w:tcPr>
            <w:tcW w:w="935" w:type="dxa"/>
            <w:tcBorders>
              <w:top w:val="single" w:sz="4" w:space="0" w:color="000000"/>
              <w:left w:val="single" w:sz="8" w:space="0" w:color="000000"/>
              <w:bottom w:val="single" w:sz="8" w:space="0" w:color="000000"/>
              <w:right w:val="single" w:sz="8" w:space="0" w:color="000000"/>
            </w:tcBorders>
            <w:vAlign w:val="center"/>
          </w:tcPr>
          <w:p w14:paraId="43D55287" w14:textId="77777777" w:rsidR="00963AB6" w:rsidRPr="0033055B" w:rsidRDefault="00963AB6" w:rsidP="003E6550">
            <w:pPr>
              <w:spacing w:line="276" w:lineRule="auto"/>
              <w:jc w:val="center"/>
              <w:rPr>
                <w:rFonts w:cstheme="minorHAnsi"/>
                <w:lang w:val="en-GB"/>
              </w:rPr>
            </w:pPr>
          </w:p>
        </w:tc>
        <w:tc>
          <w:tcPr>
            <w:tcW w:w="936" w:type="dxa"/>
            <w:tcBorders>
              <w:top w:val="single" w:sz="4" w:space="0" w:color="000000"/>
              <w:left w:val="single" w:sz="8" w:space="0" w:color="000000"/>
              <w:bottom w:val="single" w:sz="8" w:space="0" w:color="000000"/>
              <w:right w:val="single" w:sz="8" w:space="0" w:color="000000"/>
            </w:tcBorders>
            <w:vAlign w:val="center"/>
          </w:tcPr>
          <w:p w14:paraId="69CBDCB5" w14:textId="77777777" w:rsidR="00963AB6" w:rsidRPr="0033055B" w:rsidRDefault="00963AB6" w:rsidP="003E6550">
            <w:pPr>
              <w:spacing w:line="276" w:lineRule="auto"/>
              <w:jc w:val="center"/>
              <w:rPr>
                <w:rFonts w:cstheme="minorHAnsi"/>
                <w:lang w:val="en-GB"/>
              </w:rPr>
            </w:pPr>
          </w:p>
        </w:tc>
        <w:tc>
          <w:tcPr>
            <w:tcW w:w="953" w:type="dxa"/>
            <w:tcBorders>
              <w:top w:val="single" w:sz="4" w:space="0" w:color="000000"/>
              <w:left w:val="single" w:sz="8" w:space="0" w:color="000000"/>
              <w:bottom w:val="single" w:sz="8" w:space="0" w:color="000000"/>
              <w:right w:val="single" w:sz="8" w:space="0" w:color="000000"/>
            </w:tcBorders>
            <w:vAlign w:val="center"/>
          </w:tcPr>
          <w:p w14:paraId="4CDEF986" w14:textId="77777777" w:rsidR="00963AB6" w:rsidRPr="0033055B" w:rsidRDefault="00963AB6" w:rsidP="003E6550">
            <w:pPr>
              <w:spacing w:line="276" w:lineRule="auto"/>
              <w:jc w:val="center"/>
              <w:rPr>
                <w:rFonts w:cstheme="minorHAnsi"/>
                <w:lang w:val="en-GB"/>
              </w:rPr>
            </w:pPr>
          </w:p>
        </w:tc>
        <w:tc>
          <w:tcPr>
            <w:tcW w:w="935" w:type="dxa"/>
            <w:tcBorders>
              <w:top w:val="single" w:sz="4" w:space="0" w:color="000000"/>
              <w:left w:val="single" w:sz="8" w:space="0" w:color="000000"/>
              <w:bottom w:val="single" w:sz="8" w:space="0" w:color="000000"/>
              <w:right w:val="single" w:sz="8" w:space="0" w:color="000000"/>
            </w:tcBorders>
            <w:vAlign w:val="center"/>
          </w:tcPr>
          <w:p w14:paraId="2117677E" w14:textId="77777777" w:rsidR="00963AB6" w:rsidRPr="0033055B" w:rsidRDefault="00963AB6" w:rsidP="003E6550">
            <w:pPr>
              <w:spacing w:line="276" w:lineRule="auto"/>
              <w:jc w:val="center"/>
              <w:rPr>
                <w:rFonts w:cstheme="minorHAnsi"/>
                <w:lang w:val="en-GB"/>
              </w:rPr>
            </w:pPr>
          </w:p>
        </w:tc>
        <w:tc>
          <w:tcPr>
            <w:tcW w:w="1111" w:type="dxa"/>
            <w:tcBorders>
              <w:top w:val="single" w:sz="4" w:space="0" w:color="000000"/>
              <w:left w:val="single" w:sz="8" w:space="0" w:color="000000"/>
              <w:bottom w:val="single" w:sz="8" w:space="0" w:color="000000"/>
              <w:right w:val="single" w:sz="8" w:space="0" w:color="000000"/>
            </w:tcBorders>
            <w:vAlign w:val="center"/>
          </w:tcPr>
          <w:p w14:paraId="19EA1023" w14:textId="77777777" w:rsidR="00963AB6" w:rsidRPr="0033055B" w:rsidRDefault="00963AB6" w:rsidP="003E6550">
            <w:pPr>
              <w:spacing w:line="276" w:lineRule="auto"/>
              <w:jc w:val="center"/>
              <w:rPr>
                <w:rFonts w:cstheme="minorHAnsi"/>
                <w:lang w:val="en-GB"/>
              </w:rPr>
            </w:pPr>
          </w:p>
        </w:tc>
        <w:tc>
          <w:tcPr>
            <w:tcW w:w="936" w:type="dxa"/>
            <w:tcBorders>
              <w:top w:val="single" w:sz="4" w:space="0" w:color="000000"/>
              <w:left w:val="single" w:sz="8" w:space="0" w:color="000000"/>
              <w:bottom w:val="single" w:sz="8" w:space="0" w:color="000000"/>
              <w:right w:val="single" w:sz="8" w:space="0" w:color="000000"/>
            </w:tcBorders>
            <w:vAlign w:val="center"/>
          </w:tcPr>
          <w:p w14:paraId="4379CD81" w14:textId="77777777" w:rsidR="00963AB6" w:rsidRPr="0033055B" w:rsidRDefault="00963AB6" w:rsidP="003E6550">
            <w:pPr>
              <w:spacing w:line="276" w:lineRule="auto"/>
              <w:jc w:val="center"/>
              <w:rPr>
                <w:rFonts w:cstheme="minorHAnsi"/>
                <w:lang w:val="en-GB"/>
              </w:rPr>
            </w:pPr>
          </w:p>
        </w:tc>
        <w:tc>
          <w:tcPr>
            <w:tcW w:w="1111" w:type="dxa"/>
            <w:tcBorders>
              <w:top w:val="single" w:sz="4" w:space="0" w:color="000000"/>
              <w:left w:val="single" w:sz="8" w:space="0" w:color="000000"/>
              <w:bottom w:val="single" w:sz="8" w:space="0" w:color="000000"/>
              <w:right w:val="single" w:sz="8" w:space="0" w:color="000000"/>
            </w:tcBorders>
            <w:vAlign w:val="center"/>
          </w:tcPr>
          <w:p w14:paraId="32CDAFF2" w14:textId="77777777" w:rsidR="00963AB6" w:rsidRPr="0033055B" w:rsidRDefault="00963AB6" w:rsidP="003E6550">
            <w:pPr>
              <w:spacing w:line="276" w:lineRule="auto"/>
              <w:jc w:val="center"/>
              <w:rPr>
                <w:rFonts w:cstheme="minorHAnsi"/>
                <w:lang w:val="en-GB"/>
              </w:rPr>
            </w:pPr>
          </w:p>
        </w:tc>
        <w:tc>
          <w:tcPr>
            <w:tcW w:w="935" w:type="dxa"/>
            <w:tcBorders>
              <w:top w:val="single" w:sz="4" w:space="0" w:color="000000"/>
              <w:left w:val="single" w:sz="8" w:space="0" w:color="000000"/>
              <w:bottom w:val="single" w:sz="8" w:space="0" w:color="000000"/>
              <w:right w:val="single" w:sz="8" w:space="0" w:color="000000"/>
            </w:tcBorders>
            <w:vAlign w:val="center"/>
          </w:tcPr>
          <w:p w14:paraId="17E3A7D7" w14:textId="77777777" w:rsidR="00963AB6" w:rsidRPr="0033055B" w:rsidRDefault="00963AB6" w:rsidP="003E6550">
            <w:pPr>
              <w:spacing w:line="276" w:lineRule="auto"/>
              <w:jc w:val="center"/>
              <w:rPr>
                <w:rFonts w:cstheme="minorHAnsi"/>
                <w:lang w:val="en-GB"/>
              </w:rPr>
            </w:pPr>
          </w:p>
        </w:tc>
        <w:tc>
          <w:tcPr>
            <w:tcW w:w="1112" w:type="dxa"/>
            <w:tcBorders>
              <w:top w:val="single" w:sz="4" w:space="0" w:color="000000"/>
              <w:left w:val="single" w:sz="8" w:space="0" w:color="000000"/>
              <w:bottom w:val="single" w:sz="8" w:space="0" w:color="000000"/>
              <w:right w:val="single" w:sz="8" w:space="0" w:color="000000"/>
            </w:tcBorders>
            <w:vAlign w:val="center"/>
          </w:tcPr>
          <w:p w14:paraId="13AA9D2E" w14:textId="77777777" w:rsidR="00963AB6" w:rsidRPr="0033055B" w:rsidRDefault="00963AB6" w:rsidP="003E6550">
            <w:pPr>
              <w:spacing w:line="276" w:lineRule="auto"/>
              <w:jc w:val="center"/>
              <w:rPr>
                <w:rFonts w:cstheme="minorHAnsi"/>
                <w:lang w:val="en-GB"/>
              </w:rPr>
            </w:pPr>
          </w:p>
        </w:tc>
        <w:tc>
          <w:tcPr>
            <w:tcW w:w="886" w:type="dxa"/>
            <w:tcBorders>
              <w:top w:val="single" w:sz="4" w:space="0" w:color="000000"/>
              <w:left w:val="single" w:sz="8" w:space="0" w:color="000000"/>
              <w:bottom w:val="single" w:sz="8" w:space="0" w:color="000000"/>
              <w:right w:val="single" w:sz="8" w:space="0" w:color="000000"/>
            </w:tcBorders>
            <w:vAlign w:val="center"/>
          </w:tcPr>
          <w:p w14:paraId="135C986C" w14:textId="77777777" w:rsidR="00963AB6" w:rsidRPr="0033055B" w:rsidRDefault="00963AB6" w:rsidP="003E6550">
            <w:pPr>
              <w:spacing w:line="276" w:lineRule="auto"/>
              <w:jc w:val="center"/>
              <w:rPr>
                <w:rFonts w:cstheme="minorHAnsi"/>
                <w:lang w:val="en-GB"/>
              </w:rPr>
            </w:pPr>
          </w:p>
        </w:tc>
        <w:tc>
          <w:tcPr>
            <w:tcW w:w="915" w:type="dxa"/>
            <w:tcBorders>
              <w:top w:val="single" w:sz="4" w:space="0" w:color="000000"/>
              <w:left w:val="single" w:sz="8" w:space="0" w:color="000000"/>
              <w:bottom w:val="single" w:sz="8" w:space="0" w:color="000000"/>
              <w:right w:val="single" w:sz="8" w:space="0" w:color="000000"/>
            </w:tcBorders>
            <w:vAlign w:val="center"/>
          </w:tcPr>
          <w:p w14:paraId="62502F3D" w14:textId="77777777" w:rsidR="00963AB6" w:rsidRPr="0033055B" w:rsidRDefault="00963AB6" w:rsidP="003E6550">
            <w:pPr>
              <w:spacing w:line="276" w:lineRule="auto"/>
              <w:jc w:val="center"/>
              <w:rPr>
                <w:rFonts w:cstheme="minorHAnsi"/>
                <w:lang w:val="en-GB"/>
              </w:rPr>
            </w:pPr>
          </w:p>
        </w:tc>
      </w:tr>
      <w:tr w:rsidR="00C35FA9" w:rsidRPr="0033055B" w14:paraId="32931A9F" w14:textId="77777777" w:rsidTr="003E6550">
        <w:trPr>
          <w:trHeight w:val="247"/>
          <w:jc w:val="center"/>
        </w:trPr>
        <w:tc>
          <w:tcPr>
            <w:tcW w:w="2560" w:type="dxa"/>
            <w:tcBorders>
              <w:top w:val="single" w:sz="8" w:space="0" w:color="000000"/>
              <w:left w:val="single" w:sz="8" w:space="0" w:color="000000"/>
              <w:bottom w:val="single" w:sz="8" w:space="0" w:color="000000"/>
              <w:right w:val="single" w:sz="8" w:space="0" w:color="000000"/>
            </w:tcBorders>
          </w:tcPr>
          <w:p w14:paraId="2D9939D1" w14:textId="77777777" w:rsidR="00963AB6" w:rsidRPr="0033055B" w:rsidRDefault="00963AB6" w:rsidP="003E6550">
            <w:pPr>
              <w:spacing w:line="276" w:lineRule="auto"/>
              <w:jc w:val="center"/>
              <w:rPr>
                <w:rFonts w:cstheme="minorHAnsi"/>
              </w:rPr>
            </w:pPr>
            <w:r>
              <w:t>Batica, vala, oqeani</w:t>
            </w:r>
          </w:p>
        </w:tc>
        <w:tc>
          <w:tcPr>
            <w:tcW w:w="933" w:type="dxa"/>
            <w:tcBorders>
              <w:top w:val="single" w:sz="8" w:space="0" w:color="000000"/>
              <w:left w:val="single" w:sz="8" w:space="0" w:color="000000"/>
              <w:bottom w:val="single" w:sz="8" w:space="0" w:color="000000"/>
              <w:right w:val="single" w:sz="8" w:space="0" w:color="000000"/>
            </w:tcBorders>
            <w:vAlign w:val="center"/>
          </w:tcPr>
          <w:p w14:paraId="6A4BC8B6" w14:textId="77777777" w:rsidR="00963AB6" w:rsidRPr="0033055B" w:rsidRDefault="00963AB6" w:rsidP="003E6550">
            <w:pPr>
              <w:spacing w:line="276" w:lineRule="auto"/>
              <w:jc w:val="center"/>
              <w:rPr>
                <w:rFonts w:cstheme="minorHAnsi"/>
                <w:lang w:val="en-GB"/>
              </w:rPr>
            </w:pPr>
          </w:p>
        </w:tc>
        <w:tc>
          <w:tcPr>
            <w:tcW w:w="935" w:type="dxa"/>
            <w:tcBorders>
              <w:top w:val="single" w:sz="8" w:space="0" w:color="000000"/>
              <w:left w:val="single" w:sz="8" w:space="0" w:color="000000"/>
              <w:bottom w:val="single" w:sz="8" w:space="0" w:color="000000"/>
              <w:right w:val="single" w:sz="8" w:space="0" w:color="000000"/>
            </w:tcBorders>
            <w:vAlign w:val="center"/>
          </w:tcPr>
          <w:p w14:paraId="785FDA63" w14:textId="77777777" w:rsidR="00963AB6" w:rsidRPr="0033055B" w:rsidRDefault="00963AB6" w:rsidP="003E6550">
            <w:pPr>
              <w:spacing w:line="276" w:lineRule="auto"/>
              <w:jc w:val="center"/>
              <w:rPr>
                <w:rFonts w:cstheme="minorHAnsi"/>
                <w:lang w:val="en-GB"/>
              </w:rPr>
            </w:pPr>
          </w:p>
        </w:tc>
        <w:tc>
          <w:tcPr>
            <w:tcW w:w="936" w:type="dxa"/>
            <w:tcBorders>
              <w:top w:val="single" w:sz="8" w:space="0" w:color="000000"/>
              <w:left w:val="single" w:sz="8" w:space="0" w:color="000000"/>
              <w:bottom w:val="single" w:sz="8" w:space="0" w:color="000000"/>
              <w:right w:val="single" w:sz="8" w:space="0" w:color="000000"/>
            </w:tcBorders>
            <w:vAlign w:val="center"/>
          </w:tcPr>
          <w:p w14:paraId="1049F3DD" w14:textId="77777777" w:rsidR="00963AB6" w:rsidRPr="0033055B" w:rsidRDefault="00963AB6" w:rsidP="003E6550">
            <w:pPr>
              <w:spacing w:line="276" w:lineRule="auto"/>
              <w:jc w:val="center"/>
              <w:rPr>
                <w:rFonts w:cstheme="minorHAnsi"/>
                <w:lang w:val="en-GB"/>
              </w:rPr>
            </w:pPr>
          </w:p>
        </w:tc>
        <w:tc>
          <w:tcPr>
            <w:tcW w:w="953" w:type="dxa"/>
            <w:tcBorders>
              <w:top w:val="single" w:sz="8" w:space="0" w:color="000000"/>
              <w:left w:val="single" w:sz="8" w:space="0" w:color="000000"/>
              <w:bottom w:val="single" w:sz="8" w:space="0" w:color="000000"/>
              <w:right w:val="single" w:sz="8" w:space="0" w:color="000000"/>
            </w:tcBorders>
            <w:vAlign w:val="center"/>
          </w:tcPr>
          <w:p w14:paraId="001D2E58" w14:textId="77777777" w:rsidR="00963AB6" w:rsidRPr="0033055B" w:rsidRDefault="00963AB6" w:rsidP="003E6550">
            <w:pPr>
              <w:spacing w:line="276" w:lineRule="auto"/>
              <w:jc w:val="center"/>
              <w:rPr>
                <w:rFonts w:cstheme="minorHAnsi"/>
                <w:lang w:val="en-GB"/>
              </w:rPr>
            </w:pPr>
          </w:p>
        </w:tc>
        <w:tc>
          <w:tcPr>
            <w:tcW w:w="935" w:type="dxa"/>
            <w:tcBorders>
              <w:top w:val="single" w:sz="8" w:space="0" w:color="000000"/>
              <w:left w:val="single" w:sz="8" w:space="0" w:color="000000"/>
              <w:bottom w:val="single" w:sz="8" w:space="0" w:color="000000"/>
              <w:right w:val="single" w:sz="8" w:space="0" w:color="000000"/>
            </w:tcBorders>
            <w:vAlign w:val="center"/>
          </w:tcPr>
          <w:p w14:paraId="7A879D43" w14:textId="77777777" w:rsidR="00963AB6" w:rsidRPr="0033055B" w:rsidRDefault="00963AB6" w:rsidP="003E6550">
            <w:pPr>
              <w:spacing w:line="276" w:lineRule="auto"/>
              <w:jc w:val="center"/>
              <w:rPr>
                <w:rFonts w:cstheme="minorHAnsi"/>
                <w:lang w:val="en-GB"/>
              </w:rPr>
            </w:pPr>
          </w:p>
        </w:tc>
        <w:tc>
          <w:tcPr>
            <w:tcW w:w="1111" w:type="dxa"/>
            <w:tcBorders>
              <w:top w:val="single" w:sz="8" w:space="0" w:color="000000"/>
              <w:left w:val="single" w:sz="8" w:space="0" w:color="000000"/>
              <w:bottom w:val="single" w:sz="8" w:space="0" w:color="000000"/>
              <w:right w:val="single" w:sz="8" w:space="0" w:color="000000"/>
            </w:tcBorders>
            <w:vAlign w:val="center"/>
          </w:tcPr>
          <w:p w14:paraId="3FA9157E" w14:textId="77777777" w:rsidR="00963AB6" w:rsidRPr="0033055B" w:rsidRDefault="00963AB6" w:rsidP="003E6550">
            <w:pPr>
              <w:spacing w:line="276" w:lineRule="auto"/>
              <w:jc w:val="center"/>
              <w:rPr>
                <w:rFonts w:cstheme="minorHAnsi"/>
                <w:lang w:val="en-GB"/>
              </w:rPr>
            </w:pPr>
          </w:p>
        </w:tc>
        <w:tc>
          <w:tcPr>
            <w:tcW w:w="936" w:type="dxa"/>
            <w:tcBorders>
              <w:top w:val="single" w:sz="8" w:space="0" w:color="000000"/>
              <w:left w:val="single" w:sz="8" w:space="0" w:color="000000"/>
              <w:bottom w:val="single" w:sz="8" w:space="0" w:color="000000"/>
              <w:right w:val="single" w:sz="8" w:space="0" w:color="000000"/>
            </w:tcBorders>
            <w:vAlign w:val="center"/>
          </w:tcPr>
          <w:p w14:paraId="54AA5844" w14:textId="77777777" w:rsidR="00963AB6" w:rsidRPr="0033055B" w:rsidRDefault="00963AB6" w:rsidP="003E6550">
            <w:pPr>
              <w:spacing w:line="276" w:lineRule="auto"/>
              <w:jc w:val="center"/>
              <w:rPr>
                <w:rFonts w:cstheme="minorHAnsi"/>
                <w:lang w:val="en-GB"/>
              </w:rPr>
            </w:pPr>
          </w:p>
        </w:tc>
        <w:tc>
          <w:tcPr>
            <w:tcW w:w="1111" w:type="dxa"/>
            <w:tcBorders>
              <w:top w:val="single" w:sz="8" w:space="0" w:color="000000"/>
              <w:left w:val="single" w:sz="8" w:space="0" w:color="000000"/>
              <w:bottom w:val="single" w:sz="8" w:space="0" w:color="000000"/>
              <w:right w:val="single" w:sz="8" w:space="0" w:color="000000"/>
            </w:tcBorders>
            <w:vAlign w:val="center"/>
          </w:tcPr>
          <w:p w14:paraId="26090C36" w14:textId="77777777" w:rsidR="00963AB6" w:rsidRPr="0033055B" w:rsidRDefault="00963AB6" w:rsidP="003E6550">
            <w:pPr>
              <w:spacing w:line="276" w:lineRule="auto"/>
              <w:jc w:val="center"/>
              <w:rPr>
                <w:rFonts w:cstheme="minorHAnsi"/>
                <w:lang w:val="en-GB"/>
              </w:rPr>
            </w:pPr>
          </w:p>
        </w:tc>
        <w:tc>
          <w:tcPr>
            <w:tcW w:w="935" w:type="dxa"/>
            <w:tcBorders>
              <w:top w:val="single" w:sz="8" w:space="0" w:color="000000"/>
              <w:left w:val="single" w:sz="8" w:space="0" w:color="000000"/>
              <w:bottom w:val="single" w:sz="8" w:space="0" w:color="000000"/>
              <w:right w:val="single" w:sz="8" w:space="0" w:color="000000"/>
            </w:tcBorders>
            <w:vAlign w:val="center"/>
          </w:tcPr>
          <w:p w14:paraId="44262F7C" w14:textId="77777777" w:rsidR="00963AB6" w:rsidRPr="0033055B" w:rsidRDefault="00963AB6" w:rsidP="003E6550">
            <w:pPr>
              <w:spacing w:line="276" w:lineRule="auto"/>
              <w:jc w:val="center"/>
              <w:rPr>
                <w:rFonts w:cstheme="minorHAnsi"/>
                <w:lang w:val="en-GB"/>
              </w:rPr>
            </w:pPr>
          </w:p>
        </w:tc>
        <w:tc>
          <w:tcPr>
            <w:tcW w:w="1112" w:type="dxa"/>
            <w:tcBorders>
              <w:top w:val="single" w:sz="8" w:space="0" w:color="000000"/>
              <w:left w:val="single" w:sz="8" w:space="0" w:color="000000"/>
              <w:bottom w:val="single" w:sz="8" w:space="0" w:color="000000"/>
              <w:right w:val="single" w:sz="8" w:space="0" w:color="000000"/>
            </w:tcBorders>
            <w:vAlign w:val="center"/>
          </w:tcPr>
          <w:p w14:paraId="07F886E9" w14:textId="77777777" w:rsidR="00963AB6" w:rsidRPr="0033055B" w:rsidRDefault="00963AB6" w:rsidP="003E6550">
            <w:pPr>
              <w:spacing w:line="276" w:lineRule="auto"/>
              <w:jc w:val="center"/>
              <w:rPr>
                <w:rFonts w:cstheme="minorHAnsi"/>
                <w:lang w:val="en-GB"/>
              </w:rPr>
            </w:pPr>
          </w:p>
        </w:tc>
        <w:tc>
          <w:tcPr>
            <w:tcW w:w="886" w:type="dxa"/>
            <w:tcBorders>
              <w:top w:val="single" w:sz="8" w:space="0" w:color="000000"/>
              <w:left w:val="single" w:sz="8" w:space="0" w:color="000000"/>
              <w:bottom w:val="single" w:sz="8" w:space="0" w:color="000000"/>
              <w:right w:val="single" w:sz="8" w:space="0" w:color="000000"/>
            </w:tcBorders>
            <w:vAlign w:val="center"/>
          </w:tcPr>
          <w:p w14:paraId="645C4A78" w14:textId="77777777" w:rsidR="00963AB6" w:rsidRPr="0033055B" w:rsidRDefault="00963AB6" w:rsidP="003E6550">
            <w:pPr>
              <w:spacing w:line="276" w:lineRule="auto"/>
              <w:jc w:val="center"/>
              <w:rPr>
                <w:rFonts w:cstheme="minorHAnsi"/>
                <w:lang w:val="en-GB"/>
              </w:rPr>
            </w:pPr>
          </w:p>
        </w:tc>
        <w:tc>
          <w:tcPr>
            <w:tcW w:w="915" w:type="dxa"/>
            <w:tcBorders>
              <w:top w:val="single" w:sz="8" w:space="0" w:color="000000"/>
              <w:left w:val="single" w:sz="8" w:space="0" w:color="000000"/>
              <w:bottom w:val="single" w:sz="8" w:space="0" w:color="000000"/>
              <w:right w:val="single" w:sz="8" w:space="0" w:color="000000"/>
            </w:tcBorders>
            <w:vAlign w:val="center"/>
          </w:tcPr>
          <w:p w14:paraId="43A1D5C7" w14:textId="77777777" w:rsidR="00963AB6" w:rsidRPr="0033055B" w:rsidRDefault="00963AB6" w:rsidP="003E6550">
            <w:pPr>
              <w:spacing w:line="276" w:lineRule="auto"/>
              <w:jc w:val="center"/>
              <w:rPr>
                <w:rFonts w:cstheme="minorHAnsi"/>
                <w:lang w:val="en-GB"/>
              </w:rPr>
            </w:pPr>
          </w:p>
        </w:tc>
      </w:tr>
      <w:tr w:rsidR="00C35FA9" w:rsidRPr="0033055B" w14:paraId="24FBB81A" w14:textId="77777777" w:rsidTr="003E6550">
        <w:trPr>
          <w:trHeight w:val="247"/>
          <w:jc w:val="center"/>
        </w:trPr>
        <w:tc>
          <w:tcPr>
            <w:tcW w:w="2560" w:type="dxa"/>
            <w:tcBorders>
              <w:top w:val="single" w:sz="8" w:space="0" w:color="000000"/>
              <w:left w:val="single" w:sz="8" w:space="0" w:color="000000"/>
              <w:bottom w:val="single" w:sz="8" w:space="0" w:color="000000"/>
              <w:right w:val="single" w:sz="8" w:space="0" w:color="000000"/>
            </w:tcBorders>
          </w:tcPr>
          <w:p w14:paraId="50710BBE" w14:textId="77777777" w:rsidR="00963AB6" w:rsidRPr="0033055B" w:rsidRDefault="00963AB6" w:rsidP="003E6550">
            <w:pPr>
              <w:spacing w:line="276" w:lineRule="auto"/>
              <w:jc w:val="center"/>
              <w:rPr>
                <w:rFonts w:cstheme="minorHAnsi"/>
              </w:rPr>
            </w:pPr>
            <w:r>
              <w:t>Era:</w:t>
            </w:r>
          </w:p>
        </w:tc>
        <w:tc>
          <w:tcPr>
            <w:tcW w:w="933" w:type="dxa"/>
            <w:tcBorders>
              <w:top w:val="single" w:sz="8" w:space="0" w:color="000000"/>
              <w:left w:val="single" w:sz="8" w:space="0" w:color="000000"/>
              <w:bottom w:val="single" w:sz="8" w:space="0" w:color="000000"/>
              <w:right w:val="single" w:sz="8" w:space="0" w:color="000000"/>
            </w:tcBorders>
            <w:vAlign w:val="center"/>
          </w:tcPr>
          <w:p w14:paraId="1BDC6AE4" w14:textId="77777777" w:rsidR="00963AB6" w:rsidRPr="0033055B" w:rsidRDefault="00963AB6" w:rsidP="003E6550">
            <w:pPr>
              <w:spacing w:line="276" w:lineRule="auto"/>
              <w:jc w:val="center"/>
              <w:rPr>
                <w:rFonts w:cstheme="minorHAnsi"/>
                <w:lang w:val="en-GB"/>
              </w:rPr>
            </w:pPr>
          </w:p>
        </w:tc>
        <w:tc>
          <w:tcPr>
            <w:tcW w:w="935" w:type="dxa"/>
            <w:tcBorders>
              <w:top w:val="single" w:sz="8" w:space="0" w:color="000000"/>
              <w:left w:val="single" w:sz="8" w:space="0" w:color="000000"/>
              <w:bottom w:val="single" w:sz="8" w:space="0" w:color="000000"/>
              <w:right w:val="single" w:sz="8" w:space="0" w:color="000000"/>
            </w:tcBorders>
            <w:vAlign w:val="center"/>
          </w:tcPr>
          <w:p w14:paraId="71FD71C2" w14:textId="77777777" w:rsidR="00963AB6" w:rsidRPr="0033055B" w:rsidRDefault="00963AB6" w:rsidP="003E6550">
            <w:pPr>
              <w:spacing w:line="276" w:lineRule="auto"/>
              <w:jc w:val="center"/>
              <w:rPr>
                <w:rFonts w:cstheme="minorHAnsi"/>
                <w:lang w:val="en-GB"/>
              </w:rPr>
            </w:pPr>
          </w:p>
        </w:tc>
        <w:tc>
          <w:tcPr>
            <w:tcW w:w="936" w:type="dxa"/>
            <w:tcBorders>
              <w:top w:val="single" w:sz="8" w:space="0" w:color="000000"/>
              <w:left w:val="single" w:sz="8" w:space="0" w:color="000000"/>
              <w:bottom w:val="single" w:sz="8" w:space="0" w:color="000000"/>
              <w:right w:val="single" w:sz="8" w:space="0" w:color="000000"/>
            </w:tcBorders>
            <w:vAlign w:val="center"/>
          </w:tcPr>
          <w:p w14:paraId="230223E0" w14:textId="77777777" w:rsidR="00963AB6" w:rsidRPr="0033055B" w:rsidRDefault="00963AB6" w:rsidP="003E6550">
            <w:pPr>
              <w:spacing w:line="276" w:lineRule="auto"/>
              <w:jc w:val="center"/>
              <w:rPr>
                <w:rFonts w:cstheme="minorHAnsi"/>
                <w:lang w:val="en-GB"/>
              </w:rPr>
            </w:pPr>
          </w:p>
        </w:tc>
        <w:tc>
          <w:tcPr>
            <w:tcW w:w="953" w:type="dxa"/>
            <w:tcBorders>
              <w:top w:val="single" w:sz="8" w:space="0" w:color="000000"/>
              <w:left w:val="single" w:sz="8" w:space="0" w:color="000000"/>
              <w:bottom w:val="single" w:sz="8" w:space="0" w:color="000000"/>
              <w:right w:val="single" w:sz="8" w:space="0" w:color="000000"/>
            </w:tcBorders>
            <w:vAlign w:val="center"/>
          </w:tcPr>
          <w:p w14:paraId="242720B8" w14:textId="77777777" w:rsidR="00963AB6" w:rsidRPr="0033055B" w:rsidRDefault="00963AB6" w:rsidP="003E6550">
            <w:pPr>
              <w:spacing w:line="276" w:lineRule="auto"/>
              <w:jc w:val="center"/>
              <w:rPr>
                <w:rFonts w:cstheme="minorHAnsi"/>
                <w:lang w:val="en-GB"/>
              </w:rPr>
            </w:pPr>
          </w:p>
        </w:tc>
        <w:tc>
          <w:tcPr>
            <w:tcW w:w="935" w:type="dxa"/>
            <w:tcBorders>
              <w:top w:val="single" w:sz="8" w:space="0" w:color="000000"/>
              <w:left w:val="single" w:sz="8" w:space="0" w:color="000000"/>
              <w:bottom w:val="single" w:sz="8" w:space="0" w:color="000000"/>
              <w:right w:val="single" w:sz="8" w:space="0" w:color="000000"/>
            </w:tcBorders>
            <w:vAlign w:val="center"/>
          </w:tcPr>
          <w:p w14:paraId="0C1EEC3E" w14:textId="77777777" w:rsidR="00963AB6" w:rsidRPr="0033055B" w:rsidRDefault="00963AB6" w:rsidP="003E6550">
            <w:pPr>
              <w:spacing w:line="276" w:lineRule="auto"/>
              <w:jc w:val="center"/>
              <w:rPr>
                <w:rFonts w:cstheme="minorHAnsi"/>
                <w:lang w:val="en-GB"/>
              </w:rPr>
            </w:pPr>
          </w:p>
        </w:tc>
        <w:tc>
          <w:tcPr>
            <w:tcW w:w="1111" w:type="dxa"/>
            <w:tcBorders>
              <w:top w:val="single" w:sz="8" w:space="0" w:color="000000"/>
              <w:left w:val="single" w:sz="8" w:space="0" w:color="000000"/>
              <w:bottom w:val="single" w:sz="8" w:space="0" w:color="000000"/>
              <w:right w:val="single" w:sz="8" w:space="0" w:color="000000"/>
            </w:tcBorders>
            <w:vAlign w:val="center"/>
          </w:tcPr>
          <w:p w14:paraId="1959BF3F" w14:textId="77777777" w:rsidR="00963AB6" w:rsidRPr="0033055B" w:rsidRDefault="00963AB6" w:rsidP="003E6550">
            <w:pPr>
              <w:spacing w:line="276" w:lineRule="auto"/>
              <w:jc w:val="center"/>
              <w:rPr>
                <w:rFonts w:cstheme="minorHAnsi"/>
                <w:lang w:val="en-GB"/>
              </w:rPr>
            </w:pPr>
          </w:p>
        </w:tc>
        <w:tc>
          <w:tcPr>
            <w:tcW w:w="936" w:type="dxa"/>
            <w:tcBorders>
              <w:top w:val="single" w:sz="8" w:space="0" w:color="000000"/>
              <w:left w:val="single" w:sz="8" w:space="0" w:color="000000"/>
              <w:bottom w:val="single" w:sz="8" w:space="0" w:color="000000"/>
              <w:right w:val="single" w:sz="8" w:space="0" w:color="000000"/>
            </w:tcBorders>
            <w:vAlign w:val="center"/>
          </w:tcPr>
          <w:p w14:paraId="230A9A9F" w14:textId="77777777" w:rsidR="00963AB6" w:rsidRPr="0033055B" w:rsidRDefault="00963AB6" w:rsidP="003E6550">
            <w:pPr>
              <w:spacing w:line="276" w:lineRule="auto"/>
              <w:jc w:val="center"/>
              <w:rPr>
                <w:rFonts w:cstheme="minorHAnsi"/>
                <w:lang w:val="en-GB"/>
              </w:rPr>
            </w:pPr>
          </w:p>
        </w:tc>
        <w:tc>
          <w:tcPr>
            <w:tcW w:w="1111" w:type="dxa"/>
            <w:tcBorders>
              <w:top w:val="single" w:sz="8" w:space="0" w:color="000000"/>
              <w:left w:val="single" w:sz="8" w:space="0" w:color="000000"/>
              <w:bottom w:val="single" w:sz="8" w:space="0" w:color="000000"/>
              <w:right w:val="single" w:sz="8" w:space="0" w:color="000000"/>
            </w:tcBorders>
            <w:vAlign w:val="center"/>
          </w:tcPr>
          <w:p w14:paraId="68DA8B38" w14:textId="77777777" w:rsidR="00963AB6" w:rsidRPr="0033055B" w:rsidRDefault="00963AB6" w:rsidP="003E6550">
            <w:pPr>
              <w:spacing w:line="276" w:lineRule="auto"/>
              <w:jc w:val="center"/>
              <w:rPr>
                <w:rFonts w:cstheme="minorHAnsi"/>
                <w:lang w:val="en-GB"/>
              </w:rPr>
            </w:pPr>
          </w:p>
        </w:tc>
        <w:tc>
          <w:tcPr>
            <w:tcW w:w="935" w:type="dxa"/>
            <w:tcBorders>
              <w:top w:val="single" w:sz="8" w:space="0" w:color="000000"/>
              <w:left w:val="single" w:sz="8" w:space="0" w:color="000000"/>
              <w:bottom w:val="single" w:sz="8" w:space="0" w:color="000000"/>
              <w:right w:val="single" w:sz="8" w:space="0" w:color="000000"/>
            </w:tcBorders>
            <w:vAlign w:val="center"/>
          </w:tcPr>
          <w:p w14:paraId="231BCBCC" w14:textId="77777777" w:rsidR="00963AB6" w:rsidRPr="0033055B" w:rsidRDefault="00963AB6" w:rsidP="003E6550">
            <w:pPr>
              <w:spacing w:line="276" w:lineRule="auto"/>
              <w:jc w:val="center"/>
              <w:rPr>
                <w:rFonts w:cstheme="minorHAnsi"/>
                <w:lang w:val="en-GB"/>
              </w:rPr>
            </w:pPr>
          </w:p>
        </w:tc>
        <w:tc>
          <w:tcPr>
            <w:tcW w:w="1112" w:type="dxa"/>
            <w:tcBorders>
              <w:top w:val="single" w:sz="8" w:space="0" w:color="000000"/>
              <w:left w:val="single" w:sz="8" w:space="0" w:color="000000"/>
              <w:bottom w:val="single" w:sz="8" w:space="0" w:color="000000"/>
              <w:right w:val="single" w:sz="8" w:space="0" w:color="000000"/>
            </w:tcBorders>
            <w:vAlign w:val="center"/>
          </w:tcPr>
          <w:p w14:paraId="7C660C86" w14:textId="77777777" w:rsidR="00963AB6" w:rsidRPr="0033055B" w:rsidRDefault="00963AB6" w:rsidP="003E6550">
            <w:pPr>
              <w:spacing w:line="276" w:lineRule="auto"/>
              <w:jc w:val="center"/>
              <w:rPr>
                <w:rFonts w:cstheme="minorHAnsi"/>
                <w:lang w:val="en-GB"/>
              </w:rPr>
            </w:pPr>
          </w:p>
        </w:tc>
        <w:tc>
          <w:tcPr>
            <w:tcW w:w="886" w:type="dxa"/>
            <w:tcBorders>
              <w:top w:val="single" w:sz="8" w:space="0" w:color="000000"/>
              <w:left w:val="single" w:sz="8" w:space="0" w:color="000000"/>
              <w:bottom w:val="single" w:sz="8" w:space="0" w:color="000000"/>
              <w:right w:val="single" w:sz="8" w:space="0" w:color="000000"/>
            </w:tcBorders>
            <w:vAlign w:val="center"/>
          </w:tcPr>
          <w:p w14:paraId="71FB7274" w14:textId="77777777" w:rsidR="00963AB6" w:rsidRPr="0033055B" w:rsidRDefault="00963AB6" w:rsidP="003E6550">
            <w:pPr>
              <w:spacing w:line="276" w:lineRule="auto"/>
              <w:jc w:val="center"/>
              <w:rPr>
                <w:rFonts w:cstheme="minorHAnsi"/>
                <w:lang w:val="en-GB"/>
              </w:rPr>
            </w:pPr>
          </w:p>
        </w:tc>
        <w:tc>
          <w:tcPr>
            <w:tcW w:w="915" w:type="dxa"/>
            <w:tcBorders>
              <w:top w:val="single" w:sz="8" w:space="0" w:color="000000"/>
              <w:left w:val="single" w:sz="8" w:space="0" w:color="000000"/>
              <w:bottom w:val="single" w:sz="8" w:space="0" w:color="000000"/>
              <w:right w:val="single" w:sz="8" w:space="0" w:color="000000"/>
            </w:tcBorders>
            <w:vAlign w:val="center"/>
          </w:tcPr>
          <w:p w14:paraId="5662BD0E" w14:textId="77777777" w:rsidR="00963AB6" w:rsidRPr="0033055B" w:rsidRDefault="00963AB6" w:rsidP="003E6550">
            <w:pPr>
              <w:spacing w:line="276" w:lineRule="auto"/>
              <w:jc w:val="center"/>
              <w:rPr>
                <w:rFonts w:cstheme="minorHAnsi"/>
                <w:lang w:val="en-GB"/>
              </w:rPr>
            </w:pPr>
          </w:p>
        </w:tc>
      </w:tr>
      <w:tr w:rsidR="00C35FA9" w:rsidRPr="0033055B" w14:paraId="401B351C" w14:textId="77777777" w:rsidTr="003E6550">
        <w:trPr>
          <w:trHeight w:val="470"/>
          <w:jc w:val="center"/>
        </w:trPr>
        <w:tc>
          <w:tcPr>
            <w:tcW w:w="2560" w:type="dxa"/>
            <w:tcBorders>
              <w:top w:val="single" w:sz="8" w:space="0" w:color="000000"/>
              <w:left w:val="single" w:sz="8" w:space="0" w:color="000000"/>
              <w:bottom w:val="single" w:sz="4" w:space="0" w:color="000000"/>
              <w:right w:val="single" w:sz="8" w:space="0" w:color="000000"/>
            </w:tcBorders>
            <w:vAlign w:val="center"/>
          </w:tcPr>
          <w:p w14:paraId="67D27424" w14:textId="77777777" w:rsidR="00D52048" w:rsidRPr="0033055B" w:rsidRDefault="00D52048" w:rsidP="00D52048">
            <w:pPr>
              <w:spacing w:line="276" w:lineRule="auto"/>
              <w:ind w:left="140"/>
              <w:jc w:val="center"/>
              <w:rPr>
                <w:rFonts w:cstheme="minorHAnsi"/>
              </w:rPr>
            </w:pPr>
            <w:r>
              <w:rPr>
                <w:i/>
              </w:rPr>
              <w:t>Në breg</w:t>
            </w:r>
          </w:p>
        </w:tc>
        <w:tc>
          <w:tcPr>
            <w:tcW w:w="933" w:type="dxa"/>
            <w:tcBorders>
              <w:top w:val="single" w:sz="8" w:space="0" w:color="000000"/>
              <w:left w:val="single" w:sz="8" w:space="0" w:color="000000"/>
              <w:bottom w:val="single" w:sz="4" w:space="0" w:color="000000"/>
              <w:right w:val="single" w:sz="8" w:space="0" w:color="000000"/>
            </w:tcBorders>
            <w:vAlign w:val="center"/>
          </w:tcPr>
          <w:p w14:paraId="0FBE79D9" w14:textId="77777777" w:rsidR="00D52048" w:rsidRPr="0033055B" w:rsidRDefault="00D52048" w:rsidP="00D52048">
            <w:pPr>
              <w:spacing w:line="276" w:lineRule="auto"/>
              <w:jc w:val="center"/>
              <w:rPr>
                <w:rFonts w:cstheme="minorHAnsi"/>
              </w:rPr>
            </w:pPr>
            <w:r>
              <w:t>1.35</w:t>
            </w:r>
          </w:p>
        </w:tc>
        <w:tc>
          <w:tcPr>
            <w:tcW w:w="935" w:type="dxa"/>
            <w:tcBorders>
              <w:top w:val="single" w:sz="8" w:space="0" w:color="000000"/>
              <w:left w:val="single" w:sz="8" w:space="0" w:color="000000"/>
              <w:bottom w:val="single" w:sz="4" w:space="0" w:color="000000"/>
              <w:right w:val="single" w:sz="8" w:space="0" w:color="000000"/>
            </w:tcBorders>
            <w:vAlign w:val="center"/>
          </w:tcPr>
          <w:p w14:paraId="19553B79" w14:textId="77777777" w:rsidR="00D52048" w:rsidRPr="0033055B" w:rsidRDefault="00060D17" w:rsidP="00D52048">
            <w:pPr>
              <w:spacing w:line="276" w:lineRule="auto"/>
              <w:jc w:val="center"/>
              <w:rPr>
                <w:rFonts w:cstheme="minorHAnsi"/>
              </w:rPr>
            </w:pPr>
            <w:r>
              <w:t>0</w:t>
            </w:r>
          </w:p>
        </w:tc>
        <w:tc>
          <w:tcPr>
            <w:tcW w:w="936" w:type="dxa"/>
            <w:tcBorders>
              <w:top w:val="single" w:sz="8" w:space="0" w:color="000000"/>
              <w:left w:val="single" w:sz="8" w:space="0" w:color="000000"/>
              <w:bottom w:val="single" w:sz="4" w:space="0" w:color="000000"/>
              <w:right w:val="single" w:sz="8" w:space="0" w:color="000000"/>
            </w:tcBorders>
            <w:vAlign w:val="center"/>
          </w:tcPr>
          <w:p w14:paraId="75D748ED" w14:textId="77777777" w:rsidR="00D52048" w:rsidRPr="0033055B" w:rsidRDefault="00D52048" w:rsidP="00D52048">
            <w:pPr>
              <w:spacing w:line="276" w:lineRule="auto"/>
              <w:jc w:val="center"/>
              <w:rPr>
                <w:rFonts w:cstheme="minorHAnsi"/>
              </w:rPr>
            </w:pPr>
            <w:r>
              <w:t>1.35</w:t>
            </w:r>
          </w:p>
        </w:tc>
        <w:tc>
          <w:tcPr>
            <w:tcW w:w="953" w:type="dxa"/>
            <w:tcBorders>
              <w:top w:val="single" w:sz="8" w:space="0" w:color="000000"/>
              <w:left w:val="single" w:sz="8" w:space="0" w:color="000000"/>
              <w:bottom w:val="single" w:sz="4" w:space="0" w:color="000000"/>
              <w:right w:val="single" w:sz="8" w:space="0" w:color="000000"/>
            </w:tcBorders>
            <w:vAlign w:val="center"/>
          </w:tcPr>
          <w:p w14:paraId="5F15A03C" w14:textId="77777777" w:rsidR="00D52048" w:rsidRPr="0033055B" w:rsidRDefault="00D52048" w:rsidP="00D52048">
            <w:pPr>
              <w:spacing w:line="276" w:lineRule="auto"/>
              <w:jc w:val="center"/>
              <w:rPr>
                <w:rFonts w:cstheme="minorHAnsi"/>
              </w:rPr>
            </w:pPr>
            <w:r>
              <w:t>3</w:t>
            </w:r>
          </w:p>
        </w:tc>
        <w:tc>
          <w:tcPr>
            <w:tcW w:w="935" w:type="dxa"/>
            <w:tcBorders>
              <w:top w:val="single" w:sz="8" w:space="0" w:color="000000"/>
              <w:left w:val="single" w:sz="8" w:space="0" w:color="000000"/>
              <w:bottom w:val="single" w:sz="4" w:space="0" w:color="000000"/>
              <w:right w:val="single" w:sz="8" w:space="0" w:color="000000"/>
            </w:tcBorders>
            <w:vAlign w:val="center"/>
          </w:tcPr>
          <w:p w14:paraId="5BB10C9D" w14:textId="77777777" w:rsidR="00D52048" w:rsidRPr="0033055B" w:rsidRDefault="00D52048" w:rsidP="00D52048">
            <w:pPr>
              <w:spacing w:line="276" w:lineRule="auto"/>
              <w:jc w:val="center"/>
              <w:rPr>
                <w:rFonts w:cstheme="minorHAnsi"/>
              </w:rPr>
            </w:pPr>
            <w:r>
              <w:t>1.35</w:t>
            </w:r>
          </w:p>
        </w:tc>
        <w:tc>
          <w:tcPr>
            <w:tcW w:w="1111" w:type="dxa"/>
            <w:tcBorders>
              <w:top w:val="single" w:sz="8" w:space="0" w:color="000000"/>
              <w:left w:val="single" w:sz="8" w:space="0" w:color="000000"/>
              <w:bottom w:val="single" w:sz="4" w:space="0" w:color="000000"/>
              <w:right w:val="single" w:sz="8" w:space="0" w:color="000000"/>
            </w:tcBorders>
            <w:vAlign w:val="center"/>
          </w:tcPr>
          <w:p w14:paraId="323DD5AD" w14:textId="77777777" w:rsidR="00D52048" w:rsidRPr="0033055B" w:rsidRDefault="00D52048" w:rsidP="00D52048">
            <w:pPr>
              <w:spacing w:line="276" w:lineRule="auto"/>
              <w:jc w:val="center"/>
              <w:rPr>
                <w:rFonts w:cstheme="minorHAnsi"/>
              </w:rPr>
            </w:pPr>
            <w:r>
              <w:t>3</w:t>
            </w:r>
          </w:p>
        </w:tc>
        <w:tc>
          <w:tcPr>
            <w:tcW w:w="936" w:type="dxa"/>
            <w:tcBorders>
              <w:top w:val="single" w:sz="8" w:space="0" w:color="000000"/>
              <w:left w:val="single" w:sz="8" w:space="0" w:color="000000"/>
              <w:bottom w:val="single" w:sz="4" w:space="0" w:color="000000"/>
              <w:right w:val="single" w:sz="8" w:space="0" w:color="000000"/>
            </w:tcBorders>
            <w:vAlign w:val="center"/>
          </w:tcPr>
          <w:p w14:paraId="093B243E" w14:textId="77777777" w:rsidR="00D52048" w:rsidRPr="0033055B" w:rsidRDefault="00D52048" w:rsidP="00D52048">
            <w:pPr>
              <w:spacing w:line="276" w:lineRule="auto"/>
              <w:jc w:val="center"/>
              <w:rPr>
                <w:rFonts w:cstheme="minorHAnsi"/>
              </w:rPr>
            </w:pPr>
            <w:r>
              <w:t>33.8</w:t>
            </w:r>
          </w:p>
        </w:tc>
        <w:tc>
          <w:tcPr>
            <w:tcW w:w="1111" w:type="dxa"/>
            <w:tcBorders>
              <w:top w:val="single" w:sz="8" w:space="0" w:color="000000"/>
              <w:left w:val="single" w:sz="8" w:space="0" w:color="000000"/>
              <w:bottom w:val="single" w:sz="4" w:space="0" w:color="000000"/>
              <w:right w:val="single" w:sz="8" w:space="0" w:color="000000"/>
            </w:tcBorders>
            <w:vAlign w:val="center"/>
          </w:tcPr>
          <w:p w14:paraId="3CEA228F" w14:textId="77777777" w:rsidR="00D52048" w:rsidRPr="0033055B" w:rsidRDefault="00D52048" w:rsidP="00D52048">
            <w:pPr>
              <w:spacing w:line="276" w:lineRule="auto"/>
              <w:jc w:val="center"/>
              <w:rPr>
                <w:rFonts w:cstheme="minorHAnsi"/>
              </w:rPr>
            </w:pPr>
            <w:r>
              <w:t>68</w:t>
            </w:r>
          </w:p>
        </w:tc>
        <w:tc>
          <w:tcPr>
            <w:tcW w:w="935" w:type="dxa"/>
            <w:tcBorders>
              <w:top w:val="single" w:sz="8" w:space="0" w:color="000000"/>
              <w:left w:val="single" w:sz="8" w:space="0" w:color="000000"/>
              <w:bottom w:val="single" w:sz="4" w:space="0" w:color="000000"/>
              <w:right w:val="single" w:sz="8" w:space="0" w:color="000000"/>
            </w:tcBorders>
            <w:vAlign w:val="center"/>
          </w:tcPr>
          <w:p w14:paraId="7D3C9F16" w14:textId="77777777" w:rsidR="00D52048" w:rsidRPr="0033055B" w:rsidRDefault="00D52048" w:rsidP="00D52048">
            <w:pPr>
              <w:spacing w:line="276" w:lineRule="auto"/>
              <w:jc w:val="center"/>
              <w:rPr>
                <w:rFonts w:cstheme="minorHAnsi"/>
              </w:rPr>
            </w:pPr>
            <w:r>
              <w:t>33.8</w:t>
            </w:r>
          </w:p>
        </w:tc>
        <w:tc>
          <w:tcPr>
            <w:tcW w:w="1112" w:type="dxa"/>
            <w:tcBorders>
              <w:top w:val="single" w:sz="8" w:space="0" w:color="000000"/>
              <w:left w:val="single" w:sz="8" w:space="0" w:color="000000"/>
              <w:bottom w:val="single" w:sz="4" w:space="0" w:color="000000"/>
              <w:right w:val="single" w:sz="8" w:space="0" w:color="000000"/>
            </w:tcBorders>
            <w:vAlign w:val="center"/>
          </w:tcPr>
          <w:p w14:paraId="19B018B7" w14:textId="77777777" w:rsidR="00D52048" w:rsidRPr="0033055B" w:rsidRDefault="00D52048" w:rsidP="00D52048">
            <w:pPr>
              <w:spacing w:line="276" w:lineRule="auto"/>
              <w:jc w:val="center"/>
              <w:rPr>
                <w:rFonts w:cstheme="minorHAnsi"/>
              </w:rPr>
            </w:pPr>
            <w:r>
              <w:t>68</w:t>
            </w:r>
          </w:p>
        </w:tc>
        <w:tc>
          <w:tcPr>
            <w:tcW w:w="886" w:type="dxa"/>
            <w:tcBorders>
              <w:top w:val="single" w:sz="8" w:space="0" w:color="000000"/>
              <w:left w:val="single" w:sz="8" w:space="0" w:color="000000"/>
              <w:bottom w:val="single" w:sz="4" w:space="0" w:color="000000"/>
              <w:right w:val="single" w:sz="8" w:space="0" w:color="000000"/>
            </w:tcBorders>
            <w:vAlign w:val="center"/>
          </w:tcPr>
          <w:p w14:paraId="13B0D290" w14:textId="77777777" w:rsidR="00D52048" w:rsidRPr="0033055B" w:rsidRDefault="00D52048" w:rsidP="00D52048">
            <w:pPr>
              <w:spacing w:line="276" w:lineRule="auto"/>
              <w:jc w:val="center"/>
              <w:rPr>
                <w:rFonts w:cstheme="minorHAnsi"/>
              </w:rPr>
            </w:pPr>
            <w:r>
              <w:t>173.8</w:t>
            </w:r>
          </w:p>
        </w:tc>
        <w:tc>
          <w:tcPr>
            <w:tcW w:w="915" w:type="dxa"/>
            <w:tcBorders>
              <w:top w:val="single" w:sz="8" w:space="0" w:color="000000"/>
              <w:left w:val="single" w:sz="8" w:space="0" w:color="000000"/>
              <w:bottom w:val="single" w:sz="4" w:space="0" w:color="000000"/>
              <w:right w:val="single" w:sz="8" w:space="0" w:color="000000"/>
            </w:tcBorders>
            <w:vAlign w:val="center"/>
          </w:tcPr>
          <w:p w14:paraId="018AACFE" w14:textId="77777777" w:rsidR="00D52048" w:rsidRPr="0033055B" w:rsidRDefault="00D52048" w:rsidP="00D52048">
            <w:pPr>
              <w:spacing w:line="276" w:lineRule="auto"/>
              <w:jc w:val="center"/>
              <w:rPr>
                <w:rFonts w:cstheme="minorHAnsi"/>
              </w:rPr>
            </w:pPr>
            <w:r>
              <w:t>350</w:t>
            </w:r>
          </w:p>
        </w:tc>
      </w:tr>
      <w:tr w:rsidR="00C35FA9" w:rsidRPr="0033055B" w14:paraId="4D80DA3C" w14:textId="77777777" w:rsidTr="003E6550">
        <w:trPr>
          <w:trHeight w:val="241"/>
          <w:jc w:val="center"/>
        </w:trPr>
        <w:tc>
          <w:tcPr>
            <w:tcW w:w="2560" w:type="dxa"/>
            <w:tcBorders>
              <w:top w:val="single" w:sz="4" w:space="0" w:color="000000"/>
              <w:left w:val="single" w:sz="8" w:space="0" w:color="000000"/>
              <w:bottom w:val="single" w:sz="8" w:space="0" w:color="000000"/>
              <w:right w:val="single" w:sz="8" w:space="0" w:color="000000"/>
            </w:tcBorders>
          </w:tcPr>
          <w:p w14:paraId="6ED14CC9" w14:textId="77777777" w:rsidR="00963AB6" w:rsidRPr="0033055B" w:rsidRDefault="00963AB6" w:rsidP="003E6550">
            <w:pPr>
              <w:spacing w:line="276" w:lineRule="auto"/>
              <w:ind w:left="140"/>
              <w:jc w:val="center"/>
              <w:rPr>
                <w:rFonts w:cstheme="minorHAnsi"/>
              </w:rPr>
            </w:pPr>
            <w:r>
              <w:rPr>
                <w:i/>
              </w:rPr>
              <w:t>Larg bregut</w:t>
            </w:r>
          </w:p>
        </w:tc>
        <w:tc>
          <w:tcPr>
            <w:tcW w:w="933" w:type="dxa"/>
            <w:tcBorders>
              <w:top w:val="single" w:sz="4" w:space="0" w:color="000000"/>
              <w:left w:val="single" w:sz="8" w:space="0" w:color="000000"/>
              <w:bottom w:val="single" w:sz="8" w:space="0" w:color="000000"/>
              <w:right w:val="single" w:sz="8" w:space="0" w:color="000000"/>
            </w:tcBorders>
            <w:vAlign w:val="center"/>
          </w:tcPr>
          <w:p w14:paraId="6E7BA99C" w14:textId="77777777" w:rsidR="00963AB6" w:rsidRPr="0033055B" w:rsidRDefault="00963AB6" w:rsidP="003E6550">
            <w:pPr>
              <w:spacing w:line="276" w:lineRule="auto"/>
              <w:jc w:val="center"/>
              <w:rPr>
                <w:rFonts w:cstheme="minorHAnsi"/>
                <w:lang w:val="en-GB"/>
              </w:rPr>
            </w:pPr>
          </w:p>
        </w:tc>
        <w:tc>
          <w:tcPr>
            <w:tcW w:w="935" w:type="dxa"/>
            <w:tcBorders>
              <w:top w:val="single" w:sz="4" w:space="0" w:color="000000"/>
              <w:left w:val="single" w:sz="8" w:space="0" w:color="000000"/>
              <w:bottom w:val="single" w:sz="8" w:space="0" w:color="000000"/>
              <w:right w:val="single" w:sz="8" w:space="0" w:color="000000"/>
            </w:tcBorders>
            <w:vAlign w:val="center"/>
          </w:tcPr>
          <w:p w14:paraId="1926C9C6" w14:textId="77777777" w:rsidR="00963AB6" w:rsidRPr="0033055B" w:rsidRDefault="00963AB6" w:rsidP="003E6550">
            <w:pPr>
              <w:spacing w:line="276" w:lineRule="auto"/>
              <w:jc w:val="center"/>
              <w:rPr>
                <w:rFonts w:cstheme="minorHAnsi"/>
                <w:lang w:val="en-GB"/>
              </w:rPr>
            </w:pPr>
          </w:p>
        </w:tc>
        <w:tc>
          <w:tcPr>
            <w:tcW w:w="936" w:type="dxa"/>
            <w:tcBorders>
              <w:top w:val="single" w:sz="4" w:space="0" w:color="000000"/>
              <w:left w:val="single" w:sz="8" w:space="0" w:color="000000"/>
              <w:bottom w:val="single" w:sz="8" w:space="0" w:color="000000"/>
              <w:right w:val="single" w:sz="8" w:space="0" w:color="000000"/>
            </w:tcBorders>
            <w:vAlign w:val="center"/>
          </w:tcPr>
          <w:p w14:paraId="00176D67" w14:textId="77777777" w:rsidR="00963AB6" w:rsidRPr="0033055B" w:rsidRDefault="00963AB6" w:rsidP="003E6550">
            <w:pPr>
              <w:spacing w:line="276" w:lineRule="auto"/>
              <w:jc w:val="center"/>
              <w:rPr>
                <w:rFonts w:cstheme="minorHAnsi"/>
                <w:lang w:val="en-GB"/>
              </w:rPr>
            </w:pPr>
          </w:p>
        </w:tc>
        <w:tc>
          <w:tcPr>
            <w:tcW w:w="953" w:type="dxa"/>
            <w:tcBorders>
              <w:top w:val="single" w:sz="4" w:space="0" w:color="000000"/>
              <w:left w:val="single" w:sz="8" w:space="0" w:color="000000"/>
              <w:bottom w:val="single" w:sz="8" w:space="0" w:color="000000"/>
              <w:right w:val="single" w:sz="8" w:space="0" w:color="000000"/>
            </w:tcBorders>
            <w:vAlign w:val="center"/>
          </w:tcPr>
          <w:p w14:paraId="1DCCABF0" w14:textId="77777777" w:rsidR="00963AB6" w:rsidRPr="0033055B" w:rsidRDefault="00963AB6" w:rsidP="003E6550">
            <w:pPr>
              <w:spacing w:line="276" w:lineRule="auto"/>
              <w:jc w:val="center"/>
              <w:rPr>
                <w:rFonts w:cstheme="minorHAnsi"/>
                <w:lang w:val="en-GB"/>
              </w:rPr>
            </w:pPr>
          </w:p>
        </w:tc>
        <w:tc>
          <w:tcPr>
            <w:tcW w:w="935" w:type="dxa"/>
            <w:tcBorders>
              <w:top w:val="single" w:sz="4" w:space="0" w:color="000000"/>
              <w:left w:val="single" w:sz="8" w:space="0" w:color="000000"/>
              <w:bottom w:val="single" w:sz="8" w:space="0" w:color="000000"/>
              <w:right w:val="single" w:sz="8" w:space="0" w:color="000000"/>
            </w:tcBorders>
            <w:vAlign w:val="center"/>
          </w:tcPr>
          <w:p w14:paraId="4FECCD69" w14:textId="77777777" w:rsidR="00963AB6" w:rsidRPr="0033055B" w:rsidRDefault="00963AB6" w:rsidP="003E6550">
            <w:pPr>
              <w:spacing w:line="276" w:lineRule="auto"/>
              <w:jc w:val="center"/>
              <w:rPr>
                <w:rFonts w:cstheme="minorHAnsi"/>
                <w:lang w:val="en-GB"/>
              </w:rPr>
            </w:pPr>
          </w:p>
        </w:tc>
        <w:tc>
          <w:tcPr>
            <w:tcW w:w="1111" w:type="dxa"/>
            <w:tcBorders>
              <w:top w:val="single" w:sz="4" w:space="0" w:color="000000"/>
              <w:left w:val="single" w:sz="8" w:space="0" w:color="000000"/>
              <w:bottom w:val="single" w:sz="8" w:space="0" w:color="000000"/>
              <w:right w:val="single" w:sz="8" w:space="0" w:color="000000"/>
            </w:tcBorders>
            <w:vAlign w:val="center"/>
          </w:tcPr>
          <w:p w14:paraId="4A91179A" w14:textId="77777777" w:rsidR="00963AB6" w:rsidRPr="0033055B" w:rsidRDefault="00963AB6" w:rsidP="003E6550">
            <w:pPr>
              <w:spacing w:line="276" w:lineRule="auto"/>
              <w:jc w:val="center"/>
              <w:rPr>
                <w:rFonts w:cstheme="minorHAnsi"/>
                <w:lang w:val="en-GB"/>
              </w:rPr>
            </w:pPr>
          </w:p>
        </w:tc>
        <w:tc>
          <w:tcPr>
            <w:tcW w:w="936" w:type="dxa"/>
            <w:tcBorders>
              <w:top w:val="single" w:sz="4" w:space="0" w:color="000000"/>
              <w:left w:val="single" w:sz="8" w:space="0" w:color="000000"/>
              <w:bottom w:val="single" w:sz="8" w:space="0" w:color="000000"/>
              <w:right w:val="single" w:sz="8" w:space="0" w:color="000000"/>
            </w:tcBorders>
            <w:vAlign w:val="center"/>
          </w:tcPr>
          <w:p w14:paraId="3B433C59" w14:textId="77777777" w:rsidR="00963AB6" w:rsidRPr="0033055B" w:rsidRDefault="00963AB6" w:rsidP="003E6550">
            <w:pPr>
              <w:spacing w:line="276" w:lineRule="auto"/>
              <w:jc w:val="center"/>
              <w:rPr>
                <w:rFonts w:cstheme="minorHAnsi"/>
                <w:lang w:val="en-GB"/>
              </w:rPr>
            </w:pPr>
          </w:p>
        </w:tc>
        <w:tc>
          <w:tcPr>
            <w:tcW w:w="1111" w:type="dxa"/>
            <w:tcBorders>
              <w:top w:val="single" w:sz="4" w:space="0" w:color="000000"/>
              <w:left w:val="single" w:sz="8" w:space="0" w:color="000000"/>
              <w:bottom w:val="single" w:sz="8" w:space="0" w:color="000000"/>
              <w:right w:val="single" w:sz="8" w:space="0" w:color="000000"/>
            </w:tcBorders>
            <w:vAlign w:val="center"/>
          </w:tcPr>
          <w:p w14:paraId="1D6EEE29" w14:textId="77777777" w:rsidR="00963AB6" w:rsidRPr="0033055B" w:rsidRDefault="00963AB6" w:rsidP="003E6550">
            <w:pPr>
              <w:spacing w:line="276" w:lineRule="auto"/>
              <w:jc w:val="center"/>
              <w:rPr>
                <w:rFonts w:cstheme="minorHAnsi"/>
                <w:lang w:val="en-GB"/>
              </w:rPr>
            </w:pPr>
          </w:p>
        </w:tc>
        <w:tc>
          <w:tcPr>
            <w:tcW w:w="935" w:type="dxa"/>
            <w:tcBorders>
              <w:top w:val="single" w:sz="4" w:space="0" w:color="000000"/>
              <w:left w:val="single" w:sz="8" w:space="0" w:color="000000"/>
              <w:bottom w:val="single" w:sz="8" w:space="0" w:color="000000"/>
              <w:right w:val="single" w:sz="8" w:space="0" w:color="000000"/>
            </w:tcBorders>
            <w:vAlign w:val="center"/>
          </w:tcPr>
          <w:p w14:paraId="43B36DD7" w14:textId="77777777" w:rsidR="00963AB6" w:rsidRPr="0033055B" w:rsidRDefault="00963AB6" w:rsidP="003E6550">
            <w:pPr>
              <w:spacing w:line="276" w:lineRule="auto"/>
              <w:jc w:val="center"/>
              <w:rPr>
                <w:rFonts w:cstheme="minorHAnsi"/>
                <w:lang w:val="en-GB"/>
              </w:rPr>
            </w:pPr>
          </w:p>
        </w:tc>
        <w:tc>
          <w:tcPr>
            <w:tcW w:w="1112" w:type="dxa"/>
            <w:tcBorders>
              <w:top w:val="single" w:sz="4" w:space="0" w:color="000000"/>
              <w:left w:val="single" w:sz="8" w:space="0" w:color="000000"/>
              <w:bottom w:val="single" w:sz="8" w:space="0" w:color="000000"/>
              <w:right w:val="single" w:sz="8" w:space="0" w:color="000000"/>
            </w:tcBorders>
            <w:vAlign w:val="center"/>
          </w:tcPr>
          <w:p w14:paraId="5589ADDE" w14:textId="77777777" w:rsidR="00963AB6" w:rsidRPr="0033055B" w:rsidRDefault="00963AB6" w:rsidP="003E6550">
            <w:pPr>
              <w:spacing w:line="276" w:lineRule="auto"/>
              <w:jc w:val="center"/>
              <w:rPr>
                <w:rFonts w:cstheme="minorHAnsi"/>
                <w:lang w:val="en-GB"/>
              </w:rPr>
            </w:pPr>
          </w:p>
        </w:tc>
        <w:tc>
          <w:tcPr>
            <w:tcW w:w="886" w:type="dxa"/>
            <w:tcBorders>
              <w:top w:val="single" w:sz="4" w:space="0" w:color="000000"/>
              <w:left w:val="single" w:sz="8" w:space="0" w:color="000000"/>
              <w:bottom w:val="single" w:sz="8" w:space="0" w:color="000000"/>
              <w:right w:val="single" w:sz="8" w:space="0" w:color="000000"/>
            </w:tcBorders>
            <w:vAlign w:val="center"/>
          </w:tcPr>
          <w:p w14:paraId="1DDFF28B" w14:textId="77777777" w:rsidR="00963AB6" w:rsidRPr="0033055B" w:rsidRDefault="00963AB6" w:rsidP="003E6550">
            <w:pPr>
              <w:spacing w:line="276" w:lineRule="auto"/>
              <w:jc w:val="center"/>
              <w:rPr>
                <w:rFonts w:cstheme="minorHAnsi"/>
                <w:lang w:val="en-GB"/>
              </w:rPr>
            </w:pPr>
          </w:p>
        </w:tc>
        <w:tc>
          <w:tcPr>
            <w:tcW w:w="915" w:type="dxa"/>
            <w:tcBorders>
              <w:top w:val="single" w:sz="4" w:space="0" w:color="000000"/>
              <w:left w:val="single" w:sz="8" w:space="0" w:color="000000"/>
              <w:bottom w:val="single" w:sz="8" w:space="0" w:color="000000"/>
              <w:right w:val="single" w:sz="8" w:space="0" w:color="000000"/>
            </w:tcBorders>
            <w:vAlign w:val="center"/>
          </w:tcPr>
          <w:p w14:paraId="3368909E" w14:textId="77777777" w:rsidR="00963AB6" w:rsidRPr="0033055B" w:rsidRDefault="00963AB6" w:rsidP="003E6550">
            <w:pPr>
              <w:spacing w:line="276" w:lineRule="auto"/>
              <w:jc w:val="center"/>
              <w:rPr>
                <w:rFonts w:cstheme="minorHAnsi"/>
                <w:lang w:val="en-GB"/>
              </w:rPr>
            </w:pPr>
          </w:p>
        </w:tc>
      </w:tr>
      <w:tr w:rsidR="00C35FA9" w:rsidRPr="0033055B" w14:paraId="0DA5964A" w14:textId="77777777" w:rsidTr="003E6550">
        <w:trPr>
          <w:trHeight w:val="247"/>
          <w:jc w:val="center"/>
        </w:trPr>
        <w:tc>
          <w:tcPr>
            <w:tcW w:w="2560" w:type="dxa"/>
            <w:tcBorders>
              <w:top w:val="single" w:sz="8" w:space="0" w:color="000000"/>
              <w:left w:val="single" w:sz="8" w:space="0" w:color="000000"/>
              <w:bottom w:val="single" w:sz="8" w:space="0" w:color="000000"/>
              <w:right w:val="single" w:sz="8" w:space="0" w:color="000000"/>
            </w:tcBorders>
          </w:tcPr>
          <w:p w14:paraId="63410BA8" w14:textId="77777777" w:rsidR="00963AB6" w:rsidRPr="0033055B" w:rsidRDefault="00963AB6" w:rsidP="003E6550">
            <w:pPr>
              <w:spacing w:line="276" w:lineRule="auto"/>
              <w:jc w:val="center"/>
              <w:rPr>
                <w:rFonts w:cstheme="minorHAnsi"/>
              </w:rPr>
            </w:pPr>
            <w:r>
              <w:rPr>
                <w:i/>
              </w:rPr>
              <w:t>Biomasa</w:t>
            </w:r>
            <w:r>
              <w:t>:</w:t>
            </w:r>
          </w:p>
        </w:tc>
        <w:tc>
          <w:tcPr>
            <w:tcW w:w="933" w:type="dxa"/>
            <w:tcBorders>
              <w:top w:val="single" w:sz="8" w:space="0" w:color="000000"/>
              <w:left w:val="single" w:sz="8" w:space="0" w:color="000000"/>
              <w:bottom w:val="single" w:sz="8" w:space="0" w:color="000000"/>
              <w:right w:val="single" w:sz="8" w:space="0" w:color="000000"/>
            </w:tcBorders>
            <w:vAlign w:val="center"/>
          </w:tcPr>
          <w:p w14:paraId="51692065" w14:textId="77777777" w:rsidR="00963AB6" w:rsidRPr="0033055B" w:rsidRDefault="00963AB6" w:rsidP="003E6550">
            <w:pPr>
              <w:spacing w:line="276" w:lineRule="auto"/>
              <w:jc w:val="center"/>
              <w:rPr>
                <w:rFonts w:cstheme="minorHAnsi"/>
                <w:lang w:val="en-GB"/>
              </w:rPr>
            </w:pPr>
          </w:p>
        </w:tc>
        <w:tc>
          <w:tcPr>
            <w:tcW w:w="935" w:type="dxa"/>
            <w:tcBorders>
              <w:top w:val="single" w:sz="8" w:space="0" w:color="000000"/>
              <w:left w:val="single" w:sz="8" w:space="0" w:color="000000"/>
              <w:bottom w:val="single" w:sz="8" w:space="0" w:color="000000"/>
              <w:right w:val="single" w:sz="8" w:space="0" w:color="000000"/>
            </w:tcBorders>
            <w:vAlign w:val="center"/>
          </w:tcPr>
          <w:p w14:paraId="490C9FE7" w14:textId="77777777" w:rsidR="00963AB6" w:rsidRPr="0033055B" w:rsidRDefault="00963AB6" w:rsidP="003E6550">
            <w:pPr>
              <w:spacing w:line="276" w:lineRule="auto"/>
              <w:jc w:val="center"/>
              <w:rPr>
                <w:rFonts w:cstheme="minorHAnsi"/>
                <w:lang w:val="en-GB"/>
              </w:rPr>
            </w:pPr>
          </w:p>
        </w:tc>
        <w:tc>
          <w:tcPr>
            <w:tcW w:w="936" w:type="dxa"/>
            <w:tcBorders>
              <w:top w:val="single" w:sz="8" w:space="0" w:color="000000"/>
              <w:left w:val="single" w:sz="8" w:space="0" w:color="000000"/>
              <w:bottom w:val="single" w:sz="8" w:space="0" w:color="000000"/>
              <w:right w:val="single" w:sz="8" w:space="0" w:color="000000"/>
            </w:tcBorders>
            <w:vAlign w:val="center"/>
          </w:tcPr>
          <w:p w14:paraId="045F3943" w14:textId="77777777" w:rsidR="00963AB6" w:rsidRPr="0033055B" w:rsidRDefault="00963AB6" w:rsidP="003E6550">
            <w:pPr>
              <w:spacing w:line="276" w:lineRule="auto"/>
              <w:jc w:val="center"/>
              <w:rPr>
                <w:rFonts w:cstheme="minorHAnsi"/>
                <w:lang w:val="en-GB"/>
              </w:rPr>
            </w:pPr>
          </w:p>
        </w:tc>
        <w:tc>
          <w:tcPr>
            <w:tcW w:w="953" w:type="dxa"/>
            <w:tcBorders>
              <w:top w:val="single" w:sz="8" w:space="0" w:color="000000"/>
              <w:left w:val="single" w:sz="8" w:space="0" w:color="000000"/>
              <w:bottom w:val="single" w:sz="8" w:space="0" w:color="000000"/>
              <w:right w:val="single" w:sz="8" w:space="0" w:color="000000"/>
            </w:tcBorders>
            <w:vAlign w:val="center"/>
          </w:tcPr>
          <w:p w14:paraId="542478BC" w14:textId="77777777" w:rsidR="00963AB6" w:rsidRPr="0033055B" w:rsidRDefault="00963AB6" w:rsidP="003E6550">
            <w:pPr>
              <w:spacing w:line="276" w:lineRule="auto"/>
              <w:jc w:val="center"/>
              <w:rPr>
                <w:rFonts w:cstheme="minorHAnsi"/>
                <w:lang w:val="en-GB"/>
              </w:rPr>
            </w:pPr>
          </w:p>
        </w:tc>
        <w:tc>
          <w:tcPr>
            <w:tcW w:w="935" w:type="dxa"/>
            <w:tcBorders>
              <w:top w:val="single" w:sz="8" w:space="0" w:color="000000"/>
              <w:left w:val="single" w:sz="8" w:space="0" w:color="000000"/>
              <w:bottom w:val="single" w:sz="8" w:space="0" w:color="000000"/>
              <w:right w:val="single" w:sz="8" w:space="0" w:color="000000"/>
            </w:tcBorders>
            <w:vAlign w:val="center"/>
          </w:tcPr>
          <w:p w14:paraId="1638A362" w14:textId="77777777" w:rsidR="00963AB6" w:rsidRPr="0033055B" w:rsidRDefault="00963AB6" w:rsidP="003E6550">
            <w:pPr>
              <w:spacing w:line="276" w:lineRule="auto"/>
              <w:jc w:val="center"/>
              <w:rPr>
                <w:rFonts w:cstheme="minorHAnsi"/>
                <w:lang w:val="en-GB"/>
              </w:rPr>
            </w:pPr>
          </w:p>
        </w:tc>
        <w:tc>
          <w:tcPr>
            <w:tcW w:w="1111" w:type="dxa"/>
            <w:tcBorders>
              <w:top w:val="single" w:sz="8" w:space="0" w:color="000000"/>
              <w:left w:val="single" w:sz="8" w:space="0" w:color="000000"/>
              <w:bottom w:val="single" w:sz="8" w:space="0" w:color="000000"/>
              <w:right w:val="single" w:sz="8" w:space="0" w:color="000000"/>
            </w:tcBorders>
            <w:vAlign w:val="center"/>
          </w:tcPr>
          <w:p w14:paraId="15E0AD56" w14:textId="77777777" w:rsidR="00963AB6" w:rsidRPr="0033055B" w:rsidRDefault="00963AB6" w:rsidP="003E6550">
            <w:pPr>
              <w:spacing w:line="276" w:lineRule="auto"/>
              <w:jc w:val="center"/>
              <w:rPr>
                <w:rFonts w:cstheme="minorHAnsi"/>
                <w:lang w:val="en-GB"/>
              </w:rPr>
            </w:pPr>
          </w:p>
        </w:tc>
        <w:tc>
          <w:tcPr>
            <w:tcW w:w="936" w:type="dxa"/>
            <w:tcBorders>
              <w:top w:val="single" w:sz="8" w:space="0" w:color="000000"/>
              <w:left w:val="single" w:sz="8" w:space="0" w:color="000000"/>
              <w:bottom w:val="single" w:sz="8" w:space="0" w:color="000000"/>
              <w:right w:val="single" w:sz="8" w:space="0" w:color="000000"/>
            </w:tcBorders>
            <w:vAlign w:val="center"/>
          </w:tcPr>
          <w:p w14:paraId="676681B3" w14:textId="77777777" w:rsidR="00963AB6" w:rsidRPr="0033055B" w:rsidRDefault="00963AB6" w:rsidP="003E6550">
            <w:pPr>
              <w:spacing w:line="276" w:lineRule="auto"/>
              <w:jc w:val="center"/>
              <w:rPr>
                <w:rFonts w:cstheme="minorHAnsi"/>
                <w:lang w:val="en-GB"/>
              </w:rPr>
            </w:pPr>
          </w:p>
        </w:tc>
        <w:tc>
          <w:tcPr>
            <w:tcW w:w="1111" w:type="dxa"/>
            <w:tcBorders>
              <w:top w:val="single" w:sz="8" w:space="0" w:color="000000"/>
              <w:left w:val="single" w:sz="8" w:space="0" w:color="000000"/>
              <w:bottom w:val="single" w:sz="8" w:space="0" w:color="000000"/>
              <w:right w:val="single" w:sz="8" w:space="0" w:color="000000"/>
            </w:tcBorders>
            <w:vAlign w:val="center"/>
          </w:tcPr>
          <w:p w14:paraId="628A987A" w14:textId="77777777" w:rsidR="00963AB6" w:rsidRPr="0033055B" w:rsidRDefault="00963AB6" w:rsidP="003E6550">
            <w:pPr>
              <w:spacing w:line="276" w:lineRule="auto"/>
              <w:jc w:val="center"/>
              <w:rPr>
                <w:rFonts w:cstheme="minorHAnsi"/>
                <w:lang w:val="en-GB"/>
              </w:rPr>
            </w:pPr>
          </w:p>
        </w:tc>
        <w:tc>
          <w:tcPr>
            <w:tcW w:w="935" w:type="dxa"/>
            <w:tcBorders>
              <w:top w:val="single" w:sz="8" w:space="0" w:color="000000"/>
              <w:left w:val="single" w:sz="8" w:space="0" w:color="000000"/>
              <w:bottom w:val="single" w:sz="8" w:space="0" w:color="000000"/>
              <w:right w:val="single" w:sz="8" w:space="0" w:color="000000"/>
            </w:tcBorders>
            <w:vAlign w:val="center"/>
          </w:tcPr>
          <w:p w14:paraId="7A086219" w14:textId="77777777" w:rsidR="00963AB6" w:rsidRPr="0033055B" w:rsidRDefault="00963AB6" w:rsidP="003E6550">
            <w:pPr>
              <w:spacing w:line="276" w:lineRule="auto"/>
              <w:jc w:val="center"/>
              <w:rPr>
                <w:rFonts w:cstheme="minorHAnsi"/>
                <w:lang w:val="en-GB"/>
              </w:rPr>
            </w:pPr>
          </w:p>
        </w:tc>
        <w:tc>
          <w:tcPr>
            <w:tcW w:w="1112" w:type="dxa"/>
            <w:tcBorders>
              <w:top w:val="single" w:sz="8" w:space="0" w:color="000000"/>
              <w:left w:val="single" w:sz="8" w:space="0" w:color="000000"/>
              <w:bottom w:val="single" w:sz="8" w:space="0" w:color="000000"/>
              <w:right w:val="single" w:sz="8" w:space="0" w:color="000000"/>
            </w:tcBorders>
            <w:vAlign w:val="center"/>
          </w:tcPr>
          <w:p w14:paraId="2EA85ADC" w14:textId="77777777" w:rsidR="00963AB6" w:rsidRPr="0033055B" w:rsidRDefault="00963AB6" w:rsidP="003E6550">
            <w:pPr>
              <w:spacing w:line="276" w:lineRule="auto"/>
              <w:jc w:val="center"/>
              <w:rPr>
                <w:rFonts w:cstheme="minorHAnsi"/>
                <w:lang w:val="en-GB"/>
              </w:rPr>
            </w:pPr>
          </w:p>
        </w:tc>
        <w:tc>
          <w:tcPr>
            <w:tcW w:w="886" w:type="dxa"/>
            <w:tcBorders>
              <w:top w:val="single" w:sz="8" w:space="0" w:color="000000"/>
              <w:left w:val="single" w:sz="8" w:space="0" w:color="000000"/>
              <w:bottom w:val="single" w:sz="8" w:space="0" w:color="000000"/>
              <w:right w:val="single" w:sz="8" w:space="0" w:color="000000"/>
            </w:tcBorders>
            <w:vAlign w:val="center"/>
          </w:tcPr>
          <w:p w14:paraId="0BB2747B" w14:textId="77777777" w:rsidR="00963AB6" w:rsidRPr="0033055B" w:rsidRDefault="00963AB6" w:rsidP="003E6550">
            <w:pPr>
              <w:spacing w:line="276" w:lineRule="auto"/>
              <w:jc w:val="center"/>
              <w:rPr>
                <w:rFonts w:cstheme="minorHAnsi"/>
                <w:lang w:val="en-GB"/>
              </w:rPr>
            </w:pPr>
          </w:p>
        </w:tc>
        <w:tc>
          <w:tcPr>
            <w:tcW w:w="915" w:type="dxa"/>
            <w:tcBorders>
              <w:top w:val="single" w:sz="8" w:space="0" w:color="000000"/>
              <w:left w:val="single" w:sz="8" w:space="0" w:color="000000"/>
              <w:bottom w:val="single" w:sz="8" w:space="0" w:color="000000"/>
              <w:right w:val="single" w:sz="8" w:space="0" w:color="000000"/>
            </w:tcBorders>
            <w:vAlign w:val="center"/>
          </w:tcPr>
          <w:p w14:paraId="582B3BE5" w14:textId="77777777" w:rsidR="00963AB6" w:rsidRPr="0033055B" w:rsidRDefault="00963AB6" w:rsidP="003E6550">
            <w:pPr>
              <w:spacing w:line="276" w:lineRule="auto"/>
              <w:jc w:val="center"/>
              <w:rPr>
                <w:rFonts w:cstheme="minorHAnsi"/>
                <w:lang w:val="en-GB"/>
              </w:rPr>
            </w:pPr>
          </w:p>
        </w:tc>
      </w:tr>
      <w:tr w:rsidR="00C35FA9" w:rsidRPr="0033055B" w14:paraId="2EB5CB8F" w14:textId="77777777" w:rsidTr="003E6550">
        <w:trPr>
          <w:trHeight w:val="470"/>
          <w:jc w:val="center"/>
        </w:trPr>
        <w:tc>
          <w:tcPr>
            <w:tcW w:w="2560" w:type="dxa"/>
            <w:tcBorders>
              <w:top w:val="single" w:sz="8" w:space="0" w:color="000000"/>
              <w:left w:val="single" w:sz="8" w:space="0" w:color="000000"/>
              <w:bottom w:val="single" w:sz="4" w:space="0" w:color="000000"/>
              <w:right w:val="single" w:sz="8" w:space="0" w:color="000000"/>
            </w:tcBorders>
            <w:vAlign w:val="center"/>
          </w:tcPr>
          <w:p w14:paraId="24833D0C" w14:textId="77777777" w:rsidR="00963AB6" w:rsidRPr="0033055B" w:rsidRDefault="00963AB6" w:rsidP="003E6550">
            <w:pPr>
              <w:spacing w:line="276" w:lineRule="auto"/>
              <w:ind w:left="140"/>
              <w:jc w:val="center"/>
              <w:rPr>
                <w:rFonts w:cstheme="minorHAnsi"/>
              </w:rPr>
            </w:pPr>
            <w:r>
              <w:rPr>
                <w:i/>
              </w:rPr>
              <w:t>ngurtë</w:t>
            </w:r>
          </w:p>
        </w:tc>
        <w:tc>
          <w:tcPr>
            <w:tcW w:w="933" w:type="dxa"/>
            <w:tcBorders>
              <w:top w:val="single" w:sz="8" w:space="0" w:color="000000"/>
              <w:left w:val="single" w:sz="8" w:space="0" w:color="000000"/>
              <w:bottom w:val="single" w:sz="4" w:space="0" w:color="000000"/>
              <w:right w:val="single" w:sz="8" w:space="0" w:color="000000"/>
            </w:tcBorders>
            <w:vAlign w:val="center"/>
          </w:tcPr>
          <w:p w14:paraId="59C9B69F" w14:textId="77777777" w:rsidR="00963AB6" w:rsidRPr="0033055B" w:rsidRDefault="00963AB6" w:rsidP="003E6550">
            <w:pPr>
              <w:spacing w:line="276" w:lineRule="auto"/>
              <w:jc w:val="center"/>
              <w:rPr>
                <w:rFonts w:cstheme="minorHAnsi"/>
                <w:lang w:val="en-GB"/>
              </w:rPr>
            </w:pPr>
          </w:p>
        </w:tc>
        <w:tc>
          <w:tcPr>
            <w:tcW w:w="935" w:type="dxa"/>
            <w:tcBorders>
              <w:top w:val="single" w:sz="8" w:space="0" w:color="000000"/>
              <w:left w:val="single" w:sz="8" w:space="0" w:color="000000"/>
              <w:bottom w:val="single" w:sz="4" w:space="0" w:color="000000"/>
              <w:right w:val="single" w:sz="8" w:space="0" w:color="000000"/>
            </w:tcBorders>
            <w:vAlign w:val="center"/>
          </w:tcPr>
          <w:p w14:paraId="2A6FD39F" w14:textId="77777777" w:rsidR="00963AB6" w:rsidRPr="0033055B" w:rsidRDefault="00963AB6" w:rsidP="003E6550">
            <w:pPr>
              <w:spacing w:line="276" w:lineRule="auto"/>
              <w:ind w:left="179" w:right="127"/>
              <w:jc w:val="center"/>
              <w:rPr>
                <w:rFonts w:cstheme="minorHAnsi"/>
                <w:lang w:val="en-GB"/>
              </w:rPr>
            </w:pPr>
          </w:p>
        </w:tc>
        <w:tc>
          <w:tcPr>
            <w:tcW w:w="936" w:type="dxa"/>
            <w:tcBorders>
              <w:top w:val="single" w:sz="8" w:space="0" w:color="000000"/>
              <w:left w:val="single" w:sz="8" w:space="0" w:color="000000"/>
              <w:bottom w:val="single" w:sz="4" w:space="0" w:color="000000"/>
              <w:right w:val="single" w:sz="8" w:space="0" w:color="000000"/>
            </w:tcBorders>
            <w:vAlign w:val="center"/>
          </w:tcPr>
          <w:p w14:paraId="1F1636C8" w14:textId="77777777" w:rsidR="00963AB6" w:rsidRPr="0033055B" w:rsidRDefault="00963AB6" w:rsidP="003E6550">
            <w:pPr>
              <w:spacing w:line="276" w:lineRule="auto"/>
              <w:jc w:val="center"/>
              <w:rPr>
                <w:rFonts w:cstheme="minorHAnsi"/>
                <w:lang w:val="en-GB"/>
              </w:rPr>
            </w:pPr>
          </w:p>
        </w:tc>
        <w:tc>
          <w:tcPr>
            <w:tcW w:w="953" w:type="dxa"/>
            <w:tcBorders>
              <w:top w:val="single" w:sz="8" w:space="0" w:color="000000"/>
              <w:left w:val="single" w:sz="8" w:space="0" w:color="000000"/>
              <w:bottom w:val="single" w:sz="4" w:space="0" w:color="000000"/>
              <w:right w:val="single" w:sz="8" w:space="0" w:color="000000"/>
            </w:tcBorders>
            <w:vAlign w:val="center"/>
          </w:tcPr>
          <w:p w14:paraId="32405D17" w14:textId="77777777" w:rsidR="00963AB6" w:rsidRPr="0033055B" w:rsidRDefault="00963AB6" w:rsidP="003E6550">
            <w:pPr>
              <w:spacing w:line="276" w:lineRule="auto"/>
              <w:jc w:val="center"/>
              <w:rPr>
                <w:rFonts w:cstheme="minorHAnsi"/>
                <w:lang w:val="en-GB"/>
              </w:rPr>
            </w:pPr>
          </w:p>
        </w:tc>
        <w:tc>
          <w:tcPr>
            <w:tcW w:w="935" w:type="dxa"/>
            <w:tcBorders>
              <w:top w:val="single" w:sz="8" w:space="0" w:color="000000"/>
              <w:left w:val="single" w:sz="8" w:space="0" w:color="000000"/>
              <w:bottom w:val="single" w:sz="4" w:space="0" w:color="000000"/>
              <w:right w:val="single" w:sz="8" w:space="0" w:color="000000"/>
            </w:tcBorders>
            <w:vAlign w:val="center"/>
          </w:tcPr>
          <w:p w14:paraId="6A400B4D" w14:textId="77777777" w:rsidR="00963AB6" w:rsidRPr="0033055B" w:rsidRDefault="00963AB6" w:rsidP="003E6550">
            <w:pPr>
              <w:spacing w:line="276" w:lineRule="auto"/>
              <w:jc w:val="center"/>
              <w:rPr>
                <w:rFonts w:cstheme="minorHAnsi"/>
                <w:lang w:val="en-GB"/>
              </w:rPr>
            </w:pPr>
          </w:p>
        </w:tc>
        <w:tc>
          <w:tcPr>
            <w:tcW w:w="1111" w:type="dxa"/>
            <w:tcBorders>
              <w:top w:val="single" w:sz="8" w:space="0" w:color="000000"/>
              <w:left w:val="single" w:sz="8" w:space="0" w:color="000000"/>
              <w:bottom w:val="single" w:sz="4" w:space="0" w:color="000000"/>
              <w:right w:val="single" w:sz="8" w:space="0" w:color="000000"/>
            </w:tcBorders>
            <w:vAlign w:val="center"/>
          </w:tcPr>
          <w:p w14:paraId="35FE81E8" w14:textId="77777777" w:rsidR="00963AB6" w:rsidRPr="0033055B" w:rsidRDefault="00963AB6" w:rsidP="003E6550">
            <w:pPr>
              <w:spacing w:line="276" w:lineRule="auto"/>
              <w:jc w:val="center"/>
              <w:rPr>
                <w:rFonts w:cstheme="minorHAnsi"/>
                <w:lang w:val="en-GB"/>
              </w:rPr>
            </w:pPr>
          </w:p>
        </w:tc>
        <w:tc>
          <w:tcPr>
            <w:tcW w:w="936" w:type="dxa"/>
            <w:tcBorders>
              <w:top w:val="single" w:sz="8" w:space="0" w:color="000000"/>
              <w:left w:val="single" w:sz="8" w:space="0" w:color="000000"/>
              <w:bottom w:val="single" w:sz="4" w:space="0" w:color="000000"/>
              <w:right w:val="single" w:sz="8" w:space="0" w:color="000000"/>
            </w:tcBorders>
            <w:vAlign w:val="center"/>
          </w:tcPr>
          <w:p w14:paraId="7FCA818F" w14:textId="77777777" w:rsidR="00963AB6" w:rsidRPr="0033055B" w:rsidRDefault="00963AB6" w:rsidP="003E6550">
            <w:pPr>
              <w:spacing w:line="276" w:lineRule="auto"/>
              <w:jc w:val="center"/>
              <w:rPr>
                <w:rFonts w:cstheme="minorHAnsi"/>
                <w:lang w:val="en-GB"/>
              </w:rPr>
            </w:pPr>
          </w:p>
        </w:tc>
        <w:tc>
          <w:tcPr>
            <w:tcW w:w="1111" w:type="dxa"/>
            <w:tcBorders>
              <w:top w:val="single" w:sz="8" w:space="0" w:color="000000"/>
              <w:left w:val="single" w:sz="8" w:space="0" w:color="000000"/>
              <w:bottom w:val="single" w:sz="4" w:space="0" w:color="000000"/>
              <w:right w:val="single" w:sz="8" w:space="0" w:color="000000"/>
            </w:tcBorders>
            <w:vAlign w:val="center"/>
          </w:tcPr>
          <w:p w14:paraId="16D95AD0" w14:textId="77777777" w:rsidR="00963AB6" w:rsidRPr="0033055B" w:rsidRDefault="00963AB6" w:rsidP="003E6550">
            <w:pPr>
              <w:spacing w:line="276" w:lineRule="auto"/>
              <w:jc w:val="center"/>
              <w:rPr>
                <w:rFonts w:cstheme="minorHAnsi"/>
                <w:lang w:val="en-GB"/>
              </w:rPr>
            </w:pPr>
          </w:p>
        </w:tc>
        <w:tc>
          <w:tcPr>
            <w:tcW w:w="935" w:type="dxa"/>
            <w:tcBorders>
              <w:top w:val="single" w:sz="8" w:space="0" w:color="000000"/>
              <w:left w:val="single" w:sz="8" w:space="0" w:color="000000"/>
              <w:bottom w:val="single" w:sz="4" w:space="0" w:color="000000"/>
              <w:right w:val="single" w:sz="8" w:space="0" w:color="000000"/>
            </w:tcBorders>
            <w:vAlign w:val="center"/>
          </w:tcPr>
          <w:p w14:paraId="2B7DADD0" w14:textId="77777777" w:rsidR="00963AB6" w:rsidRPr="0033055B" w:rsidRDefault="00963AB6" w:rsidP="003E6550">
            <w:pPr>
              <w:spacing w:line="276" w:lineRule="auto"/>
              <w:jc w:val="center"/>
              <w:rPr>
                <w:rFonts w:cstheme="minorHAnsi"/>
                <w:lang w:val="en-GB"/>
              </w:rPr>
            </w:pPr>
          </w:p>
        </w:tc>
        <w:tc>
          <w:tcPr>
            <w:tcW w:w="1112" w:type="dxa"/>
            <w:tcBorders>
              <w:top w:val="single" w:sz="8" w:space="0" w:color="000000"/>
              <w:left w:val="single" w:sz="8" w:space="0" w:color="000000"/>
              <w:bottom w:val="single" w:sz="4" w:space="0" w:color="000000"/>
              <w:right w:val="single" w:sz="8" w:space="0" w:color="000000"/>
            </w:tcBorders>
            <w:vAlign w:val="center"/>
          </w:tcPr>
          <w:p w14:paraId="0F81CCA6" w14:textId="77777777" w:rsidR="00963AB6" w:rsidRPr="0033055B" w:rsidRDefault="00963AB6" w:rsidP="003E6550">
            <w:pPr>
              <w:spacing w:line="276" w:lineRule="auto"/>
              <w:jc w:val="center"/>
              <w:rPr>
                <w:rFonts w:cstheme="minorHAnsi"/>
                <w:lang w:val="en-GB"/>
              </w:rPr>
            </w:pPr>
          </w:p>
        </w:tc>
        <w:tc>
          <w:tcPr>
            <w:tcW w:w="886" w:type="dxa"/>
            <w:tcBorders>
              <w:top w:val="single" w:sz="8" w:space="0" w:color="000000"/>
              <w:left w:val="single" w:sz="8" w:space="0" w:color="000000"/>
              <w:bottom w:val="single" w:sz="4" w:space="0" w:color="000000"/>
              <w:right w:val="single" w:sz="8" w:space="0" w:color="000000"/>
            </w:tcBorders>
            <w:vAlign w:val="center"/>
          </w:tcPr>
          <w:p w14:paraId="0194A5BF" w14:textId="77777777" w:rsidR="00963AB6" w:rsidRPr="0033055B" w:rsidRDefault="00963AB6" w:rsidP="003E6550">
            <w:pPr>
              <w:spacing w:line="276" w:lineRule="auto"/>
              <w:jc w:val="center"/>
              <w:rPr>
                <w:rFonts w:cstheme="minorHAnsi"/>
                <w:lang w:val="en-GB"/>
              </w:rPr>
            </w:pPr>
          </w:p>
        </w:tc>
        <w:tc>
          <w:tcPr>
            <w:tcW w:w="915" w:type="dxa"/>
            <w:tcBorders>
              <w:top w:val="single" w:sz="8" w:space="0" w:color="000000"/>
              <w:left w:val="single" w:sz="8" w:space="0" w:color="000000"/>
              <w:bottom w:val="single" w:sz="4" w:space="0" w:color="000000"/>
              <w:right w:val="single" w:sz="8" w:space="0" w:color="000000"/>
            </w:tcBorders>
            <w:vAlign w:val="center"/>
          </w:tcPr>
          <w:p w14:paraId="3EA72EA8" w14:textId="77777777" w:rsidR="00963AB6" w:rsidRPr="0033055B" w:rsidRDefault="00963AB6" w:rsidP="003E6550">
            <w:pPr>
              <w:spacing w:line="276" w:lineRule="auto"/>
              <w:ind w:left="79" w:right="28"/>
              <w:jc w:val="center"/>
              <w:rPr>
                <w:rFonts w:cstheme="minorHAnsi"/>
                <w:lang w:val="en-GB"/>
              </w:rPr>
            </w:pPr>
          </w:p>
        </w:tc>
      </w:tr>
      <w:tr w:rsidR="00C35FA9" w:rsidRPr="0033055B" w14:paraId="36FB45F3" w14:textId="77777777" w:rsidTr="003E6550">
        <w:trPr>
          <w:trHeight w:val="242"/>
          <w:jc w:val="center"/>
        </w:trPr>
        <w:tc>
          <w:tcPr>
            <w:tcW w:w="2560" w:type="dxa"/>
            <w:tcBorders>
              <w:top w:val="single" w:sz="4" w:space="0" w:color="000000"/>
              <w:left w:val="single" w:sz="8" w:space="0" w:color="000000"/>
              <w:bottom w:val="single" w:sz="8" w:space="0" w:color="000000"/>
              <w:right w:val="single" w:sz="8" w:space="0" w:color="000000"/>
            </w:tcBorders>
          </w:tcPr>
          <w:p w14:paraId="0F4EFACE" w14:textId="77777777" w:rsidR="00963AB6" w:rsidRPr="0033055B" w:rsidRDefault="00963AB6" w:rsidP="003E6550">
            <w:pPr>
              <w:spacing w:line="276" w:lineRule="auto"/>
              <w:ind w:left="140"/>
              <w:jc w:val="center"/>
              <w:rPr>
                <w:rFonts w:cstheme="minorHAnsi"/>
              </w:rPr>
            </w:pPr>
            <w:r>
              <w:rPr>
                <w:i/>
              </w:rPr>
              <w:t>biogaz</w:t>
            </w:r>
          </w:p>
        </w:tc>
        <w:tc>
          <w:tcPr>
            <w:tcW w:w="933" w:type="dxa"/>
            <w:tcBorders>
              <w:top w:val="single" w:sz="4" w:space="0" w:color="000000"/>
              <w:left w:val="single" w:sz="8" w:space="0" w:color="000000"/>
              <w:bottom w:val="single" w:sz="8" w:space="0" w:color="000000"/>
              <w:right w:val="single" w:sz="8" w:space="0" w:color="000000"/>
            </w:tcBorders>
            <w:vAlign w:val="center"/>
          </w:tcPr>
          <w:p w14:paraId="63F859BF" w14:textId="77777777" w:rsidR="00963AB6" w:rsidRPr="0033055B" w:rsidRDefault="00963AB6" w:rsidP="003E6550">
            <w:pPr>
              <w:spacing w:line="276" w:lineRule="auto"/>
              <w:jc w:val="center"/>
              <w:rPr>
                <w:rFonts w:cstheme="minorHAnsi"/>
                <w:lang w:val="en-GB"/>
              </w:rPr>
            </w:pPr>
          </w:p>
        </w:tc>
        <w:tc>
          <w:tcPr>
            <w:tcW w:w="935" w:type="dxa"/>
            <w:tcBorders>
              <w:top w:val="single" w:sz="4" w:space="0" w:color="000000"/>
              <w:left w:val="single" w:sz="8" w:space="0" w:color="000000"/>
              <w:bottom w:val="single" w:sz="8" w:space="0" w:color="000000"/>
              <w:right w:val="single" w:sz="8" w:space="0" w:color="000000"/>
            </w:tcBorders>
            <w:vAlign w:val="center"/>
          </w:tcPr>
          <w:p w14:paraId="4997D4F8" w14:textId="77777777" w:rsidR="00963AB6" w:rsidRPr="0033055B" w:rsidRDefault="00963AB6" w:rsidP="003E6550">
            <w:pPr>
              <w:spacing w:line="276" w:lineRule="auto"/>
              <w:jc w:val="center"/>
              <w:rPr>
                <w:rFonts w:cstheme="minorHAnsi"/>
                <w:lang w:val="en-GB"/>
              </w:rPr>
            </w:pPr>
          </w:p>
        </w:tc>
        <w:tc>
          <w:tcPr>
            <w:tcW w:w="936" w:type="dxa"/>
            <w:tcBorders>
              <w:top w:val="single" w:sz="4" w:space="0" w:color="000000"/>
              <w:left w:val="single" w:sz="8" w:space="0" w:color="000000"/>
              <w:bottom w:val="single" w:sz="8" w:space="0" w:color="000000"/>
              <w:right w:val="single" w:sz="8" w:space="0" w:color="000000"/>
            </w:tcBorders>
            <w:vAlign w:val="center"/>
          </w:tcPr>
          <w:p w14:paraId="60D20D1A" w14:textId="77777777" w:rsidR="00963AB6" w:rsidRPr="0033055B" w:rsidRDefault="00963AB6" w:rsidP="003E6550">
            <w:pPr>
              <w:spacing w:line="276" w:lineRule="auto"/>
              <w:jc w:val="center"/>
              <w:rPr>
                <w:rFonts w:cstheme="minorHAnsi"/>
                <w:lang w:val="en-GB"/>
              </w:rPr>
            </w:pPr>
          </w:p>
        </w:tc>
        <w:tc>
          <w:tcPr>
            <w:tcW w:w="953" w:type="dxa"/>
            <w:tcBorders>
              <w:top w:val="single" w:sz="4" w:space="0" w:color="000000"/>
              <w:left w:val="single" w:sz="8" w:space="0" w:color="000000"/>
              <w:bottom w:val="single" w:sz="8" w:space="0" w:color="000000"/>
              <w:right w:val="single" w:sz="8" w:space="0" w:color="000000"/>
            </w:tcBorders>
            <w:vAlign w:val="center"/>
          </w:tcPr>
          <w:p w14:paraId="754D8492" w14:textId="77777777" w:rsidR="00963AB6" w:rsidRPr="0033055B" w:rsidRDefault="00963AB6" w:rsidP="003E6550">
            <w:pPr>
              <w:spacing w:line="276" w:lineRule="auto"/>
              <w:jc w:val="center"/>
              <w:rPr>
                <w:rFonts w:cstheme="minorHAnsi"/>
                <w:lang w:val="en-GB"/>
              </w:rPr>
            </w:pPr>
          </w:p>
        </w:tc>
        <w:tc>
          <w:tcPr>
            <w:tcW w:w="935" w:type="dxa"/>
            <w:tcBorders>
              <w:top w:val="single" w:sz="4" w:space="0" w:color="000000"/>
              <w:left w:val="single" w:sz="8" w:space="0" w:color="000000"/>
              <w:bottom w:val="single" w:sz="8" w:space="0" w:color="000000"/>
              <w:right w:val="single" w:sz="8" w:space="0" w:color="000000"/>
            </w:tcBorders>
            <w:vAlign w:val="center"/>
          </w:tcPr>
          <w:p w14:paraId="39E3C4FC" w14:textId="77777777" w:rsidR="00963AB6" w:rsidRPr="0033055B" w:rsidRDefault="00963AB6" w:rsidP="003E6550">
            <w:pPr>
              <w:spacing w:line="276" w:lineRule="auto"/>
              <w:jc w:val="center"/>
              <w:rPr>
                <w:rFonts w:cstheme="minorHAnsi"/>
                <w:lang w:val="en-GB"/>
              </w:rPr>
            </w:pPr>
          </w:p>
        </w:tc>
        <w:tc>
          <w:tcPr>
            <w:tcW w:w="1111" w:type="dxa"/>
            <w:tcBorders>
              <w:top w:val="single" w:sz="4" w:space="0" w:color="000000"/>
              <w:left w:val="single" w:sz="8" w:space="0" w:color="000000"/>
              <w:bottom w:val="single" w:sz="8" w:space="0" w:color="000000"/>
              <w:right w:val="single" w:sz="8" w:space="0" w:color="000000"/>
            </w:tcBorders>
            <w:vAlign w:val="center"/>
          </w:tcPr>
          <w:p w14:paraId="7208B968" w14:textId="77777777" w:rsidR="00963AB6" w:rsidRPr="0033055B" w:rsidRDefault="00963AB6" w:rsidP="003E6550">
            <w:pPr>
              <w:spacing w:line="276" w:lineRule="auto"/>
              <w:jc w:val="center"/>
              <w:rPr>
                <w:rFonts w:cstheme="minorHAnsi"/>
                <w:lang w:val="en-GB"/>
              </w:rPr>
            </w:pPr>
          </w:p>
        </w:tc>
        <w:tc>
          <w:tcPr>
            <w:tcW w:w="936" w:type="dxa"/>
            <w:tcBorders>
              <w:top w:val="single" w:sz="4" w:space="0" w:color="000000"/>
              <w:left w:val="single" w:sz="8" w:space="0" w:color="000000"/>
              <w:bottom w:val="single" w:sz="8" w:space="0" w:color="000000"/>
              <w:right w:val="single" w:sz="8" w:space="0" w:color="000000"/>
            </w:tcBorders>
            <w:vAlign w:val="center"/>
          </w:tcPr>
          <w:p w14:paraId="53BDBE05" w14:textId="77777777" w:rsidR="00963AB6" w:rsidRPr="0033055B" w:rsidRDefault="00963AB6" w:rsidP="003E6550">
            <w:pPr>
              <w:spacing w:line="276" w:lineRule="auto"/>
              <w:jc w:val="center"/>
              <w:rPr>
                <w:rFonts w:cstheme="minorHAnsi"/>
                <w:lang w:val="en-GB"/>
              </w:rPr>
            </w:pPr>
          </w:p>
        </w:tc>
        <w:tc>
          <w:tcPr>
            <w:tcW w:w="1111" w:type="dxa"/>
            <w:tcBorders>
              <w:top w:val="single" w:sz="4" w:space="0" w:color="000000"/>
              <w:left w:val="single" w:sz="8" w:space="0" w:color="000000"/>
              <w:bottom w:val="single" w:sz="8" w:space="0" w:color="000000"/>
              <w:right w:val="single" w:sz="8" w:space="0" w:color="000000"/>
            </w:tcBorders>
            <w:vAlign w:val="center"/>
          </w:tcPr>
          <w:p w14:paraId="312FADBE" w14:textId="77777777" w:rsidR="00963AB6" w:rsidRPr="0033055B" w:rsidRDefault="00963AB6" w:rsidP="003E6550">
            <w:pPr>
              <w:spacing w:line="276" w:lineRule="auto"/>
              <w:jc w:val="center"/>
              <w:rPr>
                <w:rFonts w:cstheme="minorHAnsi"/>
                <w:lang w:val="en-GB"/>
              </w:rPr>
            </w:pPr>
          </w:p>
        </w:tc>
        <w:tc>
          <w:tcPr>
            <w:tcW w:w="935" w:type="dxa"/>
            <w:tcBorders>
              <w:top w:val="single" w:sz="4" w:space="0" w:color="000000"/>
              <w:left w:val="single" w:sz="8" w:space="0" w:color="000000"/>
              <w:bottom w:val="single" w:sz="8" w:space="0" w:color="000000"/>
              <w:right w:val="single" w:sz="8" w:space="0" w:color="000000"/>
            </w:tcBorders>
            <w:vAlign w:val="center"/>
          </w:tcPr>
          <w:p w14:paraId="0D292965" w14:textId="77777777" w:rsidR="00963AB6" w:rsidRPr="0033055B" w:rsidRDefault="00963AB6" w:rsidP="003E6550">
            <w:pPr>
              <w:spacing w:line="276" w:lineRule="auto"/>
              <w:jc w:val="center"/>
              <w:rPr>
                <w:rFonts w:cstheme="minorHAnsi"/>
                <w:lang w:val="en-GB"/>
              </w:rPr>
            </w:pPr>
          </w:p>
        </w:tc>
        <w:tc>
          <w:tcPr>
            <w:tcW w:w="1112" w:type="dxa"/>
            <w:tcBorders>
              <w:top w:val="single" w:sz="4" w:space="0" w:color="000000"/>
              <w:left w:val="single" w:sz="8" w:space="0" w:color="000000"/>
              <w:bottom w:val="single" w:sz="8" w:space="0" w:color="000000"/>
              <w:right w:val="single" w:sz="8" w:space="0" w:color="000000"/>
            </w:tcBorders>
            <w:vAlign w:val="center"/>
          </w:tcPr>
          <w:p w14:paraId="7F25B339" w14:textId="77777777" w:rsidR="00963AB6" w:rsidRPr="0033055B" w:rsidRDefault="00963AB6" w:rsidP="003E6550">
            <w:pPr>
              <w:spacing w:line="276" w:lineRule="auto"/>
              <w:jc w:val="center"/>
              <w:rPr>
                <w:rFonts w:cstheme="minorHAnsi"/>
                <w:lang w:val="en-GB"/>
              </w:rPr>
            </w:pPr>
          </w:p>
        </w:tc>
        <w:tc>
          <w:tcPr>
            <w:tcW w:w="886" w:type="dxa"/>
            <w:tcBorders>
              <w:top w:val="single" w:sz="4" w:space="0" w:color="000000"/>
              <w:left w:val="single" w:sz="8" w:space="0" w:color="000000"/>
              <w:bottom w:val="single" w:sz="8" w:space="0" w:color="000000"/>
              <w:right w:val="single" w:sz="8" w:space="0" w:color="000000"/>
            </w:tcBorders>
            <w:vAlign w:val="center"/>
          </w:tcPr>
          <w:p w14:paraId="64598000" w14:textId="77777777" w:rsidR="00963AB6" w:rsidRPr="0033055B" w:rsidRDefault="00963AB6" w:rsidP="003E6550">
            <w:pPr>
              <w:spacing w:line="276" w:lineRule="auto"/>
              <w:jc w:val="center"/>
              <w:rPr>
                <w:rFonts w:cstheme="minorHAnsi"/>
                <w:lang w:val="en-GB"/>
              </w:rPr>
            </w:pPr>
          </w:p>
        </w:tc>
        <w:tc>
          <w:tcPr>
            <w:tcW w:w="915" w:type="dxa"/>
            <w:tcBorders>
              <w:top w:val="single" w:sz="4" w:space="0" w:color="000000"/>
              <w:left w:val="single" w:sz="8" w:space="0" w:color="000000"/>
              <w:bottom w:val="single" w:sz="8" w:space="0" w:color="000000"/>
              <w:right w:val="single" w:sz="8" w:space="0" w:color="000000"/>
            </w:tcBorders>
            <w:vAlign w:val="center"/>
          </w:tcPr>
          <w:p w14:paraId="58906839" w14:textId="77777777" w:rsidR="00963AB6" w:rsidRPr="0033055B" w:rsidRDefault="00963AB6" w:rsidP="003E6550">
            <w:pPr>
              <w:spacing w:line="276" w:lineRule="auto"/>
              <w:jc w:val="center"/>
              <w:rPr>
                <w:rFonts w:cstheme="minorHAnsi"/>
                <w:lang w:val="en-GB"/>
              </w:rPr>
            </w:pPr>
          </w:p>
        </w:tc>
      </w:tr>
      <w:tr w:rsidR="00C35FA9" w:rsidRPr="0033055B" w14:paraId="6629B32A" w14:textId="77777777" w:rsidTr="003E6550">
        <w:trPr>
          <w:trHeight w:val="246"/>
          <w:jc w:val="center"/>
        </w:trPr>
        <w:tc>
          <w:tcPr>
            <w:tcW w:w="2560" w:type="dxa"/>
            <w:tcBorders>
              <w:top w:val="single" w:sz="8" w:space="0" w:color="000000"/>
              <w:left w:val="single" w:sz="8" w:space="0" w:color="000000"/>
              <w:bottom w:val="single" w:sz="8" w:space="0" w:color="000000"/>
              <w:right w:val="single" w:sz="8" w:space="0" w:color="000000"/>
            </w:tcBorders>
          </w:tcPr>
          <w:p w14:paraId="60B73CB0" w14:textId="77777777" w:rsidR="00963AB6" w:rsidRPr="0033055B" w:rsidRDefault="00963AB6" w:rsidP="003E6550">
            <w:pPr>
              <w:spacing w:line="276" w:lineRule="auto"/>
              <w:ind w:left="140"/>
              <w:jc w:val="center"/>
              <w:rPr>
                <w:rFonts w:cstheme="minorHAnsi"/>
              </w:rPr>
            </w:pPr>
            <w:r>
              <w:rPr>
                <w:i/>
                <w:u w:val="single" w:color="000000"/>
              </w:rPr>
              <w:t>biol-lëngje</w:t>
            </w:r>
            <w:r w:rsidR="003E6550" w:rsidRPr="0033055B">
              <w:rPr>
                <w:rStyle w:val="FootnoteReference"/>
                <w:rFonts w:cstheme="minorHAnsi"/>
                <w:i/>
                <w:u w:val="single" w:color="000000"/>
                <w:lang w:val="en-GB"/>
              </w:rPr>
              <w:footnoteReference w:id="25"/>
            </w:r>
          </w:p>
        </w:tc>
        <w:tc>
          <w:tcPr>
            <w:tcW w:w="933" w:type="dxa"/>
            <w:tcBorders>
              <w:top w:val="single" w:sz="8" w:space="0" w:color="000000"/>
              <w:left w:val="single" w:sz="8" w:space="0" w:color="000000"/>
              <w:bottom w:val="single" w:sz="8" w:space="0" w:color="000000"/>
              <w:right w:val="single" w:sz="8" w:space="0" w:color="000000"/>
            </w:tcBorders>
            <w:vAlign w:val="center"/>
          </w:tcPr>
          <w:p w14:paraId="70A01BBA" w14:textId="77777777" w:rsidR="00963AB6" w:rsidRPr="0033055B" w:rsidRDefault="00963AB6" w:rsidP="003E6550">
            <w:pPr>
              <w:spacing w:line="276" w:lineRule="auto"/>
              <w:jc w:val="center"/>
              <w:rPr>
                <w:rFonts w:cstheme="minorHAnsi"/>
                <w:lang w:val="en-GB"/>
              </w:rPr>
            </w:pPr>
          </w:p>
        </w:tc>
        <w:tc>
          <w:tcPr>
            <w:tcW w:w="935" w:type="dxa"/>
            <w:tcBorders>
              <w:top w:val="single" w:sz="8" w:space="0" w:color="000000"/>
              <w:left w:val="single" w:sz="8" w:space="0" w:color="000000"/>
              <w:bottom w:val="single" w:sz="8" w:space="0" w:color="000000"/>
              <w:right w:val="single" w:sz="8" w:space="0" w:color="000000"/>
            </w:tcBorders>
            <w:vAlign w:val="center"/>
          </w:tcPr>
          <w:p w14:paraId="4954AF12" w14:textId="77777777" w:rsidR="00963AB6" w:rsidRPr="0033055B" w:rsidRDefault="00963AB6" w:rsidP="003E6550">
            <w:pPr>
              <w:spacing w:line="276" w:lineRule="auto"/>
              <w:jc w:val="center"/>
              <w:rPr>
                <w:rFonts w:cstheme="minorHAnsi"/>
                <w:lang w:val="en-GB"/>
              </w:rPr>
            </w:pPr>
          </w:p>
        </w:tc>
        <w:tc>
          <w:tcPr>
            <w:tcW w:w="936" w:type="dxa"/>
            <w:tcBorders>
              <w:top w:val="single" w:sz="8" w:space="0" w:color="000000"/>
              <w:left w:val="single" w:sz="8" w:space="0" w:color="000000"/>
              <w:bottom w:val="single" w:sz="8" w:space="0" w:color="000000"/>
              <w:right w:val="single" w:sz="8" w:space="0" w:color="000000"/>
            </w:tcBorders>
            <w:vAlign w:val="center"/>
          </w:tcPr>
          <w:p w14:paraId="50CD3329" w14:textId="77777777" w:rsidR="00963AB6" w:rsidRPr="0033055B" w:rsidRDefault="00963AB6" w:rsidP="003E6550">
            <w:pPr>
              <w:spacing w:line="276" w:lineRule="auto"/>
              <w:jc w:val="center"/>
              <w:rPr>
                <w:rFonts w:cstheme="minorHAnsi"/>
                <w:lang w:val="en-GB"/>
              </w:rPr>
            </w:pPr>
          </w:p>
        </w:tc>
        <w:tc>
          <w:tcPr>
            <w:tcW w:w="953" w:type="dxa"/>
            <w:tcBorders>
              <w:top w:val="single" w:sz="8" w:space="0" w:color="000000"/>
              <w:left w:val="single" w:sz="8" w:space="0" w:color="000000"/>
              <w:bottom w:val="single" w:sz="8" w:space="0" w:color="000000"/>
              <w:right w:val="single" w:sz="8" w:space="0" w:color="000000"/>
            </w:tcBorders>
            <w:vAlign w:val="center"/>
          </w:tcPr>
          <w:p w14:paraId="6B307BC4" w14:textId="77777777" w:rsidR="00963AB6" w:rsidRPr="0033055B" w:rsidRDefault="00963AB6" w:rsidP="003E6550">
            <w:pPr>
              <w:spacing w:line="276" w:lineRule="auto"/>
              <w:jc w:val="center"/>
              <w:rPr>
                <w:rFonts w:cstheme="minorHAnsi"/>
                <w:lang w:val="en-GB"/>
              </w:rPr>
            </w:pPr>
          </w:p>
        </w:tc>
        <w:tc>
          <w:tcPr>
            <w:tcW w:w="935" w:type="dxa"/>
            <w:tcBorders>
              <w:top w:val="single" w:sz="8" w:space="0" w:color="000000"/>
              <w:left w:val="single" w:sz="8" w:space="0" w:color="000000"/>
              <w:bottom w:val="single" w:sz="8" w:space="0" w:color="000000"/>
              <w:right w:val="single" w:sz="8" w:space="0" w:color="000000"/>
            </w:tcBorders>
            <w:vAlign w:val="center"/>
          </w:tcPr>
          <w:p w14:paraId="3E09002B" w14:textId="77777777" w:rsidR="00963AB6" w:rsidRPr="0033055B" w:rsidRDefault="00963AB6" w:rsidP="003E6550">
            <w:pPr>
              <w:spacing w:line="276" w:lineRule="auto"/>
              <w:jc w:val="center"/>
              <w:rPr>
                <w:rFonts w:cstheme="minorHAnsi"/>
                <w:lang w:val="en-GB"/>
              </w:rPr>
            </w:pPr>
          </w:p>
        </w:tc>
        <w:tc>
          <w:tcPr>
            <w:tcW w:w="1111" w:type="dxa"/>
            <w:tcBorders>
              <w:top w:val="single" w:sz="8" w:space="0" w:color="000000"/>
              <w:left w:val="single" w:sz="8" w:space="0" w:color="000000"/>
              <w:bottom w:val="single" w:sz="8" w:space="0" w:color="000000"/>
              <w:right w:val="single" w:sz="8" w:space="0" w:color="000000"/>
            </w:tcBorders>
            <w:vAlign w:val="center"/>
          </w:tcPr>
          <w:p w14:paraId="7A585619" w14:textId="77777777" w:rsidR="00963AB6" w:rsidRPr="0033055B" w:rsidRDefault="00963AB6" w:rsidP="003E6550">
            <w:pPr>
              <w:spacing w:line="276" w:lineRule="auto"/>
              <w:jc w:val="center"/>
              <w:rPr>
                <w:rFonts w:cstheme="minorHAnsi"/>
                <w:lang w:val="en-GB"/>
              </w:rPr>
            </w:pPr>
          </w:p>
        </w:tc>
        <w:tc>
          <w:tcPr>
            <w:tcW w:w="936" w:type="dxa"/>
            <w:tcBorders>
              <w:top w:val="single" w:sz="8" w:space="0" w:color="000000"/>
              <w:left w:val="single" w:sz="8" w:space="0" w:color="000000"/>
              <w:bottom w:val="single" w:sz="8" w:space="0" w:color="000000"/>
              <w:right w:val="single" w:sz="8" w:space="0" w:color="000000"/>
            </w:tcBorders>
            <w:vAlign w:val="center"/>
          </w:tcPr>
          <w:p w14:paraId="29EBED2D" w14:textId="77777777" w:rsidR="00963AB6" w:rsidRPr="0033055B" w:rsidRDefault="00963AB6" w:rsidP="003E6550">
            <w:pPr>
              <w:spacing w:line="276" w:lineRule="auto"/>
              <w:jc w:val="center"/>
              <w:rPr>
                <w:rFonts w:cstheme="minorHAnsi"/>
                <w:lang w:val="en-GB"/>
              </w:rPr>
            </w:pPr>
          </w:p>
        </w:tc>
        <w:tc>
          <w:tcPr>
            <w:tcW w:w="1111" w:type="dxa"/>
            <w:tcBorders>
              <w:top w:val="single" w:sz="8" w:space="0" w:color="000000"/>
              <w:left w:val="single" w:sz="8" w:space="0" w:color="000000"/>
              <w:bottom w:val="single" w:sz="8" w:space="0" w:color="000000"/>
              <w:right w:val="single" w:sz="8" w:space="0" w:color="000000"/>
            </w:tcBorders>
            <w:vAlign w:val="center"/>
          </w:tcPr>
          <w:p w14:paraId="5AF6A6FF" w14:textId="77777777" w:rsidR="00963AB6" w:rsidRPr="0033055B" w:rsidRDefault="00963AB6" w:rsidP="003E6550">
            <w:pPr>
              <w:spacing w:line="276" w:lineRule="auto"/>
              <w:jc w:val="center"/>
              <w:rPr>
                <w:rFonts w:cstheme="minorHAnsi"/>
                <w:lang w:val="en-GB"/>
              </w:rPr>
            </w:pPr>
          </w:p>
        </w:tc>
        <w:tc>
          <w:tcPr>
            <w:tcW w:w="935" w:type="dxa"/>
            <w:tcBorders>
              <w:top w:val="single" w:sz="8" w:space="0" w:color="000000"/>
              <w:left w:val="single" w:sz="8" w:space="0" w:color="000000"/>
              <w:bottom w:val="single" w:sz="8" w:space="0" w:color="000000"/>
              <w:right w:val="single" w:sz="8" w:space="0" w:color="000000"/>
            </w:tcBorders>
            <w:vAlign w:val="center"/>
          </w:tcPr>
          <w:p w14:paraId="437161B3" w14:textId="77777777" w:rsidR="00963AB6" w:rsidRPr="0033055B" w:rsidRDefault="00963AB6" w:rsidP="003E6550">
            <w:pPr>
              <w:spacing w:line="276" w:lineRule="auto"/>
              <w:jc w:val="center"/>
              <w:rPr>
                <w:rFonts w:cstheme="minorHAnsi"/>
                <w:lang w:val="en-GB"/>
              </w:rPr>
            </w:pPr>
          </w:p>
        </w:tc>
        <w:tc>
          <w:tcPr>
            <w:tcW w:w="1112" w:type="dxa"/>
            <w:tcBorders>
              <w:top w:val="single" w:sz="8" w:space="0" w:color="000000"/>
              <w:left w:val="single" w:sz="8" w:space="0" w:color="000000"/>
              <w:bottom w:val="single" w:sz="8" w:space="0" w:color="000000"/>
              <w:right w:val="single" w:sz="8" w:space="0" w:color="000000"/>
            </w:tcBorders>
            <w:vAlign w:val="center"/>
          </w:tcPr>
          <w:p w14:paraId="6FBDDA6E" w14:textId="77777777" w:rsidR="00963AB6" w:rsidRPr="0033055B" w:rsidRDefault="00963AB6" w:rsidP="003E6550">
            <w:pPr>
              <w:spacing w:line="276" w:lineRule="auto"/>
              <w:jc w:val="center"/>
              <w:rPr>
                <w:rFonts w:cstheme="minorHAnsi"/>
                <w:lang w:val="en-GB"/>
              </w:rPr>
            </w:pPr>
          </w:p>
        </w:tc>
        <w:tc>
          <w:tcPr>
            <w:tcW w:w="886" w:type="dxa"/>
            <w:tcBorders>
              <w:top w:val="single" w:sz="8" w:space="0" w:color="000000"/>
              <w:left w:val="single" w:sz="8" w:space="0" w:color="000000"/>
              <w:bottom w:val="single" w:sz="8" w:space="0" w:color="000000"/>
              <w:right w:val="single" w:sz="8" w:space="0" w:color="000000"/>
            </w:tcBorders>
            <w:vAlign w:val="center"/>
          </w:tcPr>
          <w:p w14:paraId="617195F6" w14:textId="77777777" w:rsidR="00963AB6" w:rsidRPr="0033055B" w:rsidRDefault="00963AB6" w:rsidP="003E6550">
            <w:pPr>
              <w:spacing w:line="276" w:lineRule="auto"/>
              <w:jc w:val="center"/>
              <w:rPr>
                <w:rFonts w:cstheme="minorHAnsi"/>
                <w:lang w:val="en-GB"/>
              </w:rPr>
            </w:pPr>
          </w:p>
        </w:tc>
        <w:tc>
          <w:tcPr>
            <w:tcW w:w="915" w:type="dxa"/>
            <w:tcBorders>
              <w:top w:val="single" w:sz="8" w:space="0" w:color="000000"/>
              <w:left w:val="single" w:sz="8" w:space="0" w:color="000000"/>
              <w:bottom w:val="single" w:sz="8" w:space="0" w:color="000000"/>
              <w:right w:val="single" w:sz="8" w:space="0" w:color="000000"/>
            </w:tcBorders>
            <w:vAlign w:val="center"/>
          </w:tcPr>
          <w:p w14:paraId="5D92DCB3" w14:textId="77777777" w:rsidR="00963AB6" w:rsidRPr="0033055B" w:rsidRDefault="00963AB6" w:rsidP="003E6550">
            <w:pPr>
              <w:spacing w:line="276" w:lineRule="auto"/>
              <w:jc w:val="center"/>
              <w:rPr>
                <w:rFonts w:cstheme="minorHAnsi"/>
                <w:lang w:val="en-GB"/>
              </w:rPr>
            </w:pPr>
          </w:p>
        </w:tc>
      </w:tr>
      <w:tr w:rsidR="00C35FA9" w:rsidRPr="0033055B" w14:paraId="5B5554EC" w14:textId="77777777" w:rsidTr="003E6550">
        <w:trPr>
          <w:trHeight w:val="445"/>
          <w:jc w:val="center"/>
        </w:trPr>
        <w:tc>
          <w:tcPr>
            <w:tcW w:w="2560" w:type="dxa"/>
            <w:tcBorders>
              <w:top w:val="single" w:sz="8" w:space="0" w:color="000000"/>
              <w:left w:val="single" w:sz="8" w:space="0" w:color="000000"/>
              <w:bottom w:val="single" w:sz="8" w:space="0" w:color="000000"/>
              <w:right w:val="single" w:sz="8" w:space="0" w:color="000000"/>
            </w:tcBorders>
            <w:vAlign w:val="center"/>
          </w:tcPr>
          <w:p w14:paraId="68CB40ED" w14:textId="77777777" w:rsidR="00963AB6" w:rsidRPr="0033055B" w:rsidRDefault="00963AB6" w:rsidP="003E6550">
            <w:pPr>
              <w:spacing w:line="276" w:lineRule="auto"/>
              <w:ind w:left="140"/>
              <w:jc w:val="center"/>
              <w:rPr>
                <w:rFonts w:cstheme="minorHAnsi"/>
              </w:rPr>
            </w:pPr>
            <w:r>
              <w:rPr>
                <w:b/>
              </w:rPr>
              <w:t>GJITHSEJ</w:t>
            </w:r>
          </w:p>
        </w:tc>
        <w:tc>
          <w:tcPr>
            <w:tcW w:w="933" w:type="dxa"/>
            <w:tcBorders>
              <w:top w:val="single" w:sz="8" w:space="0" w:color="000000"/>
              <w:left w:val="single" w:sz="8" w:space="0" w:color="000000"/>
              <w:bottom w:val="single" w:sz="8" w:space="0" w:color="000000"/>
              <w:right w:val="single" w:sz="8" w:space="0" w:color="000000"/>
            </w:tcBorders>
            <w:vAlign w:val="center"/>
          </w:tcPr>
          <w:p w14:paraId="5886A8CD" w14:textId="77777777" w:rsidR="00963AB6" w:rsidRPr="0033055B" w:rsidRDefault="00963AB6" w:rsidP="003E6550">
            <w:pPr>
              <w:spacing w:line="276" w:lineRule="auto"/>
              <w:jc w:val="center"/>
              <w:rPr>
                <w:rFonts w:cstheme="minorHAnsi"/>
                <w:b/>
              </w:rPr>
            </w:pPr>
            <w:r>
              <w:rPr>
                <w:b/>
              </w:rPr>
              <w:t>44</w:t>
            </w:r>
          </w:p>
        </w:tc>
        <w:tc>
          <w:tcPr>
            <w:tcW w:w="935" w:type="dxa"/>
            <w:tcBorders>
              <w:top w:val="single" w:sz="8" w:space="0" w:color="000000"/>
              <w:left w:val="single" w:sz="8" w:space="0" w:color="000000"/>
              <w:bottom w:val="single" w:sz="8" w:space="0" w:color="000000"/>
              <w:right w:val="single" w:sz="8" w:space="0" w:color="000000"/>
            </w:tcBorders>
            <w:vAlign w:val="center"/>
          </w:tcPr>
          <w:p w14:paraId="41069F1B" w14:textId="77777777" w:rsidR="00963AB6" w:rsidRPr="0033055B" w:rsidRDefault="00963AB6" w:rsidP="003E6550">
            <w:pPr>
              <w:spacing w:line="276" w:lineRule="auto"/>
              <w:jc w:val="center"/>
              <w:rPr>
                <w:rFonts w:cstheme="minorHAnsi"/>
                <w:b/>
              </w:rPr>
            </w:pPr>
            <w:r>
              <w:rPr>
                <w:b/>
              </w:rPr>
              <w:t>139</w:t>
            </w:r>
          </w:p>
        </w:tc>
        <w:tc>
          <w:tcPr>
            <w:tcW w:w="936" w:type="dxa"/>
            <w:tcBorders>
              <w:top w:val="single" w:sz="8" w:space="0" w:color="000000"/>
              <w:left w:val="single" w:sz="8" w:space="0" w:color="000000"/>
              <w:bottom w:val="single" w:sz="8" w:space="0" w:color="000000"/>
              <w:right w:val="single" w:sz="8" w:space="0" w:color="000000"/>
            </w:tcBorders>
            <w:vAlign w:val="center"/>
          </w:tcPr>
          <w:p w14:paraId="3612B875" w14:textId="77777777" w:rsidR="00963AB6" w:rsidRPr="0033055B" w:rsidRDefault="00BB6792" w:rsidP="003E6550">
            <w:pPr>
              <w:spacing w:line="276" w:lineRule="auto"/>
              <w:jc w:val="center"/>
              <w:rPr>
                <w:rFonts w:cstheme="minorHAnsi"/>
                <w:b/>
              </w:rPr>
            </w:pPr>
            <w:r>
              <w:rPr>
                <w:b/>
              </w:rPr>
              <w:t>93</w:t>
            </w:r>
          </w:p>
        </w:tc>
        <w:tc>
          <w:tcPr>
            <w:tcW w:w="953" w:type="dxa"/>
            <w:tcBorders>
              <w:top w:val="single" w:sz="8" w:space="0" w:color="000000"/>
              <w:left w:val="single" w:sz="8" w:space="0" w:color="000000"/>
              <w:bottom w:val="single" w:sz="8" w:space="0" w:color="000000"/>
              <w:right w:val="single" w:sz="8" w:space="0" w:color="000000"/>
            </w:tcBorders>
            <w:vAlign w:val="center"/>
          </w:tcPr>
          <w:p w14:paraId="073B3EB1" w14:textId="77777777" w:rsidR="00963AB6" w:rsidRPr="0033055B" w:rsidRDefault="00BB6792" w:rsidP="003E6550">
            <w:pPr>
              <w:spacing w:line="276" w:lineRule="auto"/>
              <w:jc w:val="center"/>
              <w:rPr>
                <w:rFonts w:cstheme="minorHAnsi"/>
                <w:b/>
              </w:rPr>
            </w:pPr>
            <w:r>
              <w:rPr>
                <w:b/>
              </w:rPr>
              <w:t>371</w:t>
            </w:r>
          </w:p>
        </w:tc>
        <w:tc>
          <w:tcPr>
            <w:tcW w:w="935" w:type="dxa"/>
            <w:tcBorders>
              <w:top w:val="single" w:sz="8" w:space="0" w:color="000000"/>
              <w:left w:val="single" w:sz="8" w:space="0" w:color="000000"/>
              <w:bottom w:val="single" w:sz="8" w:space="0" w:color="000000"/>
              <w:right w:val="single" w:sz="8" w:space="0" w:color="000000"/>
            </w:tcBorders>
            <w:vAlign w:val="center"/>
          </w:tcPr>
          <w:p w14:paraId="06E0CC25" w14:textId="77777777" w:rsidR="00963AB6" w:rsidRPr="0033055B" w:rsidRDefault="00BB6792" w:rsidP="003E6550">
            <w:pPr>
              <w:spacing w:line="276" w:lineRule="auto"/>
              <w:jc w:val="center"/>
              <w:rPr>
                <w:rFonts w:cstheme="minorHAnsi"/>
                <w:b/>
              </w:rPr>
            </w:pPr>
            <w:r>
              <w:rPr>
                <w:b/>
              </w:rPr>
              <w:t>93</w:t>
            </w:r>
          </w:p>
        </w:tc>
        <w:tc>
          <w:tcPr>
            <w:tcW w:w="1111" w:type="dxa"/>
            <w:tcBorders>
              <w:top w:val="single" w:sz="8" w:space="0" w:color="000000"/>
              <w:left w:val="single" w:sz="8" w:space="0" w:color="000000"/>
              <w:bottom w:val="single" w:sz="8" w:space="0" w:color="000000"/>
              <w:right w:val="single" w:sz="8" w:space="0" w:color="000000"/>
            </w:tcBorders>
            <w:vAlign w:val="center"/>
          </w:tcPr>
          <w:p w14:paraId="7904519F" w14:textId="77777777" w:rsidR="00963AB6" w:rsidRPr="0033055B" w:rsidRDefault="00BB6792" w:rsidP="003E6550">
            <w:pPr>
              <w:spacing w:line="276" w:lineRule="auto"/>
              <w:jc w:val="center"/>
              <w:rPr>
                <w:rFonts w:cstheme="minorHAnsi"/>
                <w:b/>
              </w:rPr>
            </w:pPr>
            <w:r>
              <w:rPr>
                <w:b/>
              </w:rPr>
              <w:t>371</w:t>
            </w:r>
          </w:p>
        </w:tc>
        <w:tc>
          <w:tcPr>
            <w:tcW w:w="936" w:type="dxa"/>
            <w:tcBorders>
              <w:top w:val="single" w:sz="8" w:space="0" w:color="000000"/>
              <w:left w:val="single" w:sz="8" w:space="0" w:color="000000"/>
              <w:bottom w:val="single" w:sz="8" w:space="0" w:color="000000"/>
              <w:right w:val="single" w:sz="8" w:space="0" w:color="000000"/>
            </w:tcBorders>
            <w:vAlign w:val="center"/>
          </w:tcPr>
          <w:p w14:paraId="35BC4B15" w14:textId="77777777" w:rsidR="00963AB6" w:rsidRPr="0033055B" w:rsidRDefault="00BB6792" w:rsidP="003E6550">
            <w:pPr>
              <w:spacing w:line="276" w:lineRule="auto"/>
              <w:jc w:val="center"/>
              <w:rPr>
                <w:rFonts w:cstheme="minorHAnsi"/>
                <w:b/>
              </w:rPr>
            </w:pPr>
            <w:r>
              <w:rPr>
                <w:b/>
              </w:rPr>
              <w:t>163</w:t>
            </w:r>
          </w:p>
        </w:tc>
        <w:tc>
          <w:tcPr>
            <w:tcW w:w="1111" w:type="dxa"/>
            <w:tcBorders>
              <w:top w:val="single" w:sz="8" w:space="0" w:color="000000"/>
              <w:left w:val="single" w:sz="8" w:space="0" w:color="000000"/>
              <w:bottom w:val="single" w:sz="8" w:space="0" w:color="000000"/>
              <w:right w:val="single" w:sz="8" w:space="0" w:color="000000"/>
            </w:tcBorders>
            <w:vAlign w:val="center"/>
          </w:tcPr>
          <w:p w14:paraId="13992419" w14:textId="77777777" w:rsidR="00963AB6" w:rsidRPr="0033055B" w:rsidRDefault="00BB6792" w:rsidP="003E6550">
            <w:pPr>
              <w:spacing w:line="276" w:lineRule="auto"/>
              <w:jc w:val="center"/>
              <w:rPr>
                <w:rFonts w:cstheme="minorHAnsi"/>
                <w:b/>
              </w:rPr>
            </w:pPr>
            <w:r>
              <w:rPr>
                <w:b/>
              </w:rPr>
              <w:t>583</w:t>
            </w:r>
          </w:p>
        </w:tc>
        <w:tc>
          <w:tcPr>
            <w:tcW w:w="935" w:type="dxa"/>
            <w:tcBorders>
              <w:top w:val="single" w:sz="8" w:space="0" w:color="000000"/>
              <w:left w:val="single" w:sz="8" w:space="0" w:color="000000"/>
              <w:bottom w:val="single" w:sz="8" w:space="0" w:color="000000"/>
              <w:right w:val="single" w:sz="8" w:space="0" w:color="000000"/>
            </w:tcBorders>
            <w:vAlign w:val="center"/>
          </w:tcPr>
          <w:p w14:paraId="750A80C9" w14:textId="77777777" w:rsidR="00963AB6" w:rsidRPr="0033055B" w:rsidRDefault="00405FF0" w:rsidP="003E6550">
            <w:pPr>
              <w:spacing w:line="276" w:lineRule="auto"/>
              <w:jc w:val="center"/>
              <w:rPr>
                <w:rFonts w:cstheme="minorHAnsi"/>
                <w:b/>
              </w:rPr>
            </w:pPr>
            <w:r>
              <w:rPr>
                <w:b/>
              </w:rPr>
              <w:t>197</w:t>
            </w:r>
          </w:p>
        </w:tc>
        <w:tc>
          <w:tcPr>
            <w:tcW w:w="1112" w:type="dxa"/>
            <w:tcBorders>
              <w:top w:val="single" w:sz="8" w:space="0" w:color="000000"/>
              <w:left w:val="single" w:sz="8" w:space="0" w:color="000000"/>
              <w:bottom w:val="single" w:sz="8" w:space="0" w:color="000000"/>
              <w:right w:val="single" w:sz="8" w:space="0" w:color="000000"/>
            </w:tcBorders>
            <w:vAlign w:val="center"/>
          </w:tcPr>
          <w:p w14:paraId="2EFB9795" w14:textId="77777777" w:rsidR="00963AB6" w:rsidRPr="0033055B" w:rsidRDefault="00405FF0" w:rsidP="003E6550">
            <w:pPr>
              <w:spacing w:line="276" w:lineRule="auto"/>
              <w:jc w:val="center"/>
              <w:rPr>
                <w:rFonts w:cstheme="minorHAnsi"/>
                <w:b/>
              </w:rPr>
            </w:pPr>
            <w:r>
              <w:rPr>
                <w:b/>
              </w:rPr>
              <w:t>725</w:t>
            </w:r>
          </w:p>
        </w:tc>
        <w:tc>
          <w:tcPr>
            <w:tcW w:w="886" w:type="dxa"/>
            <w:tcBorders>
              <w:top w:val="single" w:sz="8" w:space="0" w:color="000000"/>
              <w:left w:val="single" w:sz="8" w:space="0" w:color="000000"/>
              <w:bottom w:val="single" w:sz="8" w:space="0" w:color="000000"/>
              <w:right w:val="single" w:sz="8" w:space="0" w:color="000000"/>
            </w:tcBorders>
            <w:vAlign w:val="center"/>
          </w:tcPr>
          <w:p w14:paraId="04F2ECA6" w14:textId="77777777" w:rsidR="00963AB6" w:rsidRPr="0033055B" w:rsidRDefault="00BB6792" w:rsidP="003E6550">
            <w:pPr>
              <w:spacing w:line="276" w:lineRule="auto"/>
              <w:jc w:val="center"/>
              <w:rPr>
                <w:rFonts w:cstheme="minorHAnsi"/>
                <w:b/>
              </w:rPr>
            </w:pPr>
            <w:r>
              <w:rPr>
                <w:b/>
              </w:rPr>
              <w:t>371</w:t>
            </w:r>
          </w:p>
        </w:tc>
        <w:tc>
          <w:tcPr>
            <w:tcW w:w="915" w:type="dxa"/>
            <w:tcBorders>
              <w:top w:val="single" w:sz="8" w:space="0" w:color="000000"/>
              <w:left w:val="single" w:sz="8" w:space="0" w:color="000000"/>
              <w:bottom w:val="single" w:sz="8" w:space="0" w:color="000000"/>
              <w:right w:val="single" w:sz="8" w:space="0" w:color="000000"/>
            </w:tcBorders>
            <w:vAlign w:val="center"/>
          </w:tcPr>
          <w:p w14:paraId="766D54A6" w14:textId="77777777" w:rsidR="00963AB6" w:rsidRPr="0033055B" w:rsidRDefault="00BB6792" w:rsidP="003E6550">
            <w:pPr>
              <w:spacing w:line="276" w:lineRule="auto"/>
              <w:ind w:left="17"/>
              <w:jc w:val="center"/>
              <w:rPr>
                <w:rFonts w:cstheme="minorHAnsi"/>
                <w:b/>
              </w:rPr>
            </w:pPr>
            <w:r>
              <w:rPr>
                <w:b/>
              </w:rPr>
              <w:t>1093</w:t>
            </w:r>
          </w:p>
        </w:tc>
      </w:tr>
      <w:tr w:rsidR="00C35FA9" w:rsidRPr="0033055B" w14:paraId="5657C17A" w14:textId="77777777" w:rsidTr="003E6550">
        <w:trPr>
          <w:trHeight w:val="247"/>
          <w:jc w:val="center"/>
        </w:trPr>
        <w:tc>
          <w:tcPr>
            <w:tcW w:w="2560" w:type="dxa"/>
            <w:tcBorders>
              <w:top w:val="single" w:sz="8" w:space="0" w:color="000000"/>
              <w:left w:val="single" w:sz="8" w:space="0" w:color="000000"/>
              <w:bottom w:val="single" w:sz="8" w:space="0" w:color="000000"/>
              <w:right w:val="single" w:sz="8" w:space="0" w:color="000000"/>
            </w:tcBorders>
          </w:tcPr>
          <w:p w14:paraId="73A7BBDF" w14:textId="77777777" w:rsidR="00963AB6" w:rsidRPr="0033055B" w:rsidRDefault="00963AB6" w:rsidP="003E6550">
            <w:pPr>
              <w:spacing w:line="276" w:lineRule="auto"/>
              <w:ind w:left="140"/>
              <w:jc w:val="center"/>
              <w:rPr>
                <w:rFonts w:cstheme="minorHAnsi"/>
              </w:rPr>
            </w:pPr>
            <w:r>
              <w:t>Prej të cilave në ko-gjenerim</w:t>
            </w:r>
          </w:p>
        </w:tc>
        <w:tc>
          <w:tcPr>
            <w:tcW w:w="933" w:type="dxa"/>
            <w:tcBorders>
              <w:top w:val="single" w:sz="8" w:space="0" w:color="000000"/>
              <w:left w:val="single" w:sz="8" w:space="0" w:color="000000"/>
              <w:bottom w:val="single" w:sz="8" w:space="0" w:color="000000"/>
              <w:right w:val="single" w:sz="8" w:space="0" w:color="000000"/>
            </w:tcBorders>
            <w:vAlign w:val="center"/>
          </w:tcPr>
          <w:p w14:paraId="04DF4790" w14:textId="77777777" w:rsidR="00963AB6" w:rsidRPr="0033055B" w:rsidRDefault="00963AB6" w:rsidP="003E6550">
            <w:pPr>
              <w:spacing w:line="276" w:lineRule="auto"/>
              <w:jc w:val="center"/>
              <w:rPr>
                <w:rFonts w:cstheme="minorHAnsi"/>
                <w:lang w:val="en-GB"/>
              </w:rPr>
            </w:pPr>
          </w:p>
        </w:tc>
        <w:tc>
          <w:tcPr>
            <w:tcW w:w="935" w:type="dxa"/>
            <w:tcBorders>
              <w:top w:val="single" w:sz="8" w:space="0" w:color="000000"/>
              <w:left w:val="single" w:sz="8" w:space="0" w:color="000000"/>
              <w:bottom w:val="single" w:sz="8" w:space="0" w:color="000000"/>
              <w:right w:val="single" w:sz="8" w:space="0" w:color="000000"/>
            </w:tcBorders>
            <w:vAlign w:val="center"/>
          </w:tcPr>
          <w:p w14:paraId="04C90202" w14:textId="77777777" w:rsidR="00963AB6" w:rsidRPr="0033055B" w:rsidRDefault="00963AB6" w:rsidP="003E6550">
            <w:pPr>
              <w:spacing w:line="276" w:lineRule="auto"/>
              <w:jc w:val="center"/>
              <w:rPr>
                <w:rFonts w:cstheme="minorHAnsi"/>
                <w:lang w:val="en-GB"/>
              </w:rPr>
            </w:pPr>
          </w:p>
        </w:tc>
        <w:tc>
          <w:tcPr>
            <w:tcW w:w="936" w:type="dxa"/>
            <w:tcBorders>
              <w:top w:val="single" w:sz="8" w:space="0" w:color="000000"/>
              <w:left w:val="single" w:sz="8" w:space="0" w:color="000000"/>
              <w:bottom w:val="single" w:sz="8" w:space="0" w:color="000000"/>
              <w:right w:val="single" w:sz="8" w:space="0" w:color="000000"/>
            </w:tcBorders>
            <w:vAlign w:val="center"/>
          </w:tcPr>
          <w:p w14:paraId="2E5EBE06" w14:textId="77777777" w:rsidR="00963AB6" w:rsidRPr="0033055B" w:rsidRDefault="00963AB6" w:rsidP="003E6550">
            <w:pPr>
              <w:spacing w:line="276" w:lineRule="auto"/>
              <w:jc w:val="center"/>
              <w:rPr>
                <w:rFonts w:cstheme="minorHAnsi"/>
                <w:lang w:val="en-GB"/>
              </w:rPr>
            </w:pPr>
          </w:p>
        </w:tc>
        <w:tc>
          <w:tcPr>
            <w:tcW w:w="953" w:type="dxa"/>
            <w:tcBorders>
              <w:top w:val="single" w:sz="8" w:space="0" w:color="000000"/>
              <w:left w:val="single" w:sz="8" w:space="0" w:color="000000"/>
              <w:bottom w:val="single" w:sz="8" w:space="0" w:color="000000"/>
              <w:right w:val="single" w:sz="8" w:space="0" w:color="000000"/>
            </w:tcBorders>
            <w:vAlign w:val="center"/>
          </w:tcPr>
          <w:p w14:paraId="03ACC7F9" w14:textId="77777777" w:rsidR="00963AB6" w:rsidRPr="0033055B" w:rsidRDefault="00963AB6" w:rsidP="003E6550">
            <w:pPr>
              <w:spacing w:line="276" w:lineRule="auto"/>
              <w:jc w:val="center"/>
              <w:rPr>
                <w:rFonts w:cstheme="minorHAnsi"/>
                <w:lang w:val="en-GB"/>
              </w:rPr>
            </w:pPr>
          </w:p>
        </w:tc>
        <w:tc>
          <w:tcPr>
            <w:tcW w:w="935" w:type="dxa"/>
            <w:tcBorders>
              <w:top w:val="single" w:sz="8" w:space="0" w:color="000000"/>
              <w:left w:val="single" w:sz="8" w:space="0" w:color="000000"/>
              <w:bottom w:val="single" w:sz="8" w:space="0" w:color="000000"/>
              <w:right w:val="single" w:sz="8" w:space="0" w:color="000000"/>
            </w:tcBorders>
            <w:vAlign w:val="center"/>
          </w:tcPr>
          <w:p w14:paraId="16803C21" w14:textId="77777777" w:rsidR="00963AB6" w:rsidRPr="0033055B" w:rsidRDefault="00963AB6" w:rsidP="003E6550">
            <w:pPr>
              <w:spacing w:line="276" w:lineRule="auto"/>
              <w:jc w:val="center"/>
              <w:rPr>
                <w:rFonts w:cstheme="minorHAnsi"/>
                <w:lang w:val="en-GB"/>
              </w:rPr>
            </w:pPr>
          </w:p>
        </w:tc>
        <w:tc>
          <w:tcPr>
            <w:tcW w:w="1111" w:type="dxa"/>
            <w:tcBorders>
              <w:top w:val="single" w:sz="8" w:space="0" w:color="000000"/>
              <w:left w:val="single" w:sz="8" w:space="0" w:color="000000"/>
              <w:bottom w:val="single" w:sz="8" w:space="0" w:color="000000"/>
              <w:right w:val="single" w:sz="8" w:space="0" w:color="000000"/>
            </w:tcBorders>
            <w:vAlign w:val="center"/>
          </w:tcPr>
          <w:p w14:paraId="508F78F5" w14:textId="77777777" w:rsidR="00963AB6" w:rsidRPr="0033055B" w:rsidRDefault="00963AB6" w:rsidP="003E6550">
            <w:pPr>
              <w:spacing w:line="276" w:lineRule="auto"/>
              <w:jc w:val="center"/>
              <w:rPr>
                <w:rFonts w:cstheme="minorHAnsi"/>
                <w:lang w:val="en-GB"/>
              </w:rPr>
            </w:pPr>
          </w:p>
        </w:tc>
        <w:tc>
          <w:tcPr>
            <w:tcW w:w="936" w:type="dxa"/>
            <w:tcBorders>
              <w:top w:val="single" w:sz="8" w:space="0" w:color="000000"/>
              <w:left w:val="single" w:sz="8" w:space="0" w:color="000000"/>
              <w:bottom w:val="single" w:sz="8" w:space="0" w:color="000000"/>
              <w:right w:val="single" w:sz="8" w:space="0" w:color="000000"/>
            </w:tcBorders>
            <w:vAlign w:val="center"/>
          </w:tcPr>
          <w:p w14:paraId="2B2026F9" w14:textId="77777777" w:rsidR="00963AB6" w:rsidRPr="0033055B" w:rsidRDefault="00963AB6" w:rsidP="003E6550">
            <w:pPr>
              <w:spacing w:line="276" w:lineRule="auto"/>
              <w:jc w:val="center"/>
              <w:rPr>
                <w:rFonts w:cstheme="minorHAnsi"/>
                <w:lang w:val="en-GB"/>
              </w:rPr>
            </w:pPr>
          </w:p>
        </w:tc>
        <w:tc>
          <w:tcPr>
            <w:tcW w:w="1111" w:type="dxa"/>
            <w:tcBorders>
              <w:top w:val="single" w:sz="8" w:space="0" w:color="000000"/>
              <w:left w:val="single" w:sz="8" w:space="0" w:color="000000"/>
              <w:bottom w:val="single" w:sz="8" w:space="0" w:color="000000"/>
              <w:right w:val="single" w:sz="8" w:space="0" w:color="000000"/>
            </w:tcBorders>
            <w:vAlign w:val="center"/>
          </w:tcPr>
          <w:p w14:paraId="0B83DB61" w14:textId="77777777" w:rsidR="00963AB6" w:rsidRPr="0033055B" w:rsidRDefault="00963AB6" w:rsidP="003E6550">
            <w:pPr>
              <w:spacing w:line="276" w:lineRule="auto"/>
              <w:jc w:val="center"/>
              <w:rPr>
                <w:rFonts w:cstheme="minorHAnsi"/>
                <w:lang w:val="en-GB"/>
              </w:rPr>
            </w:pPr>
          </w:p>
        </w:tc>
        <w:tc>
          <w:tcPr>
            <w:tcW w:w="935" w:type="dxa"/>
            <w:tcBorders>
              <w:top w:val="single" w:sz="8" w:space="0" w:color="000000"/>
              <w:left w:val="single" w:sz="8" w:space="0" w:color="000000"/>
              <w:bottom w:val="single" w:sz="8" w:space="0" w:color="000000"/>
              <w:right w:val="single" w:sz="8" w:space="0" w:color="000000"/>
            </w:tcBorders>
            <w:vAlign w:val="center"/>
          </w:tcPr>
          <w:p w14:paraId="5C83BF33" w14:textId="77777777" w:rsidR="00963AB6" w:rsidRPr="0033055B" w:rsidRDefault="00963AB6" w:rsidP="003E6550">
            <w:pPr>
              <w:spacing w:line="276" w:lineRule="auto"/>
              <w:jc w:val="center"/>
              <w:rPr>
                <w:rFonts w:cstheme="minorHAnsi"/>
                <w:lang w:val="en-GB"/>
              </w:rPr>
            </w:pPr>
          </w:p>
        </w:tc>
        <w:tc>
          <w:tcPr>
            <w:tcW w:w="1112" w:type="dxa"/>
            <w:tcBorders>
              <w:top w:val="single" w:sz="8" w:space="0" w:color="000000"/>
              <w:left w:val="single" w:sz="8" w:space="0" w:color="000000"/>
              <w:bottom w:val="single" w:sz="8" w:space="0" w:color="000000"/>
              <w:right w:val="single" w:sz="8" w:space="0" w:color="000000"/>
            </w:tcBorders>
            <w:vAlign w:val="center"/>
          </w:tcPr>
          <w:p w14:paraId="454AF2C0" w14:textId="77777777" w:rsidR="00963AB6" w:rsidRPr="0033055B" w:rsidRDefault="00963AB6" w:rsidP="003E6550">
            <w:pPr>
              <w:spacing w:line="276" w:lineRule="auto"/>
              <w:jc w:val="center"/>
              <w:rPr>
                <w:rFonts w:cstheme="minorHAnsi"/>
                <w:lang w:val="en-GB"/>
              </w:rPr>
            </w:pPr>
          </w:p>
        </w:tc>
        <w:tc>
          <w:tcPr>
            <w:tcW w:w="886" w:type="dxa"/>
            <w:tcBorders>
              <w:top w:val="single" w:sz="8" w:space="0" w:color="000000"/>
              <w:left w:val="single" w:sz="8" w:space="0" w:color="000000"/>
              <w:bottom w:val="single" w:sz="8" w:space="0" w:color="000000"/>
              <w:right w:val="single" w:sz="8" w:space="0" w:color="000000"/>
            </w:tcBorders>
            <w:vAlign w:val="center"/>
          </w:tcPr>
          <w:p w14:paraId="674F86D1" w14:textId="77777777" w:rsidR="00963AB6" w:rsidRPr="0033055B" w:rsidRDefault="00963AB6" w:rsidP="003E6550">
            <w:pPr>
              <w:spacing w:line="276" w:lineRule="auto"/>
              <w:jc w:val="center"/>
              <w:rPr>
                <w:rFonts w:cstheme="minorHAnsi"/>
                <w:lang w:val="en-GB"/>
              </w:rPr>
            </w:pPr>
          </w:p>
        </w:tc>
        <w:tc>
          <w:tcPr>
            <w:tcW w:w="915" w:type="dxa"/>
            <w:tcBorders>
              <w:top w:val="single" w:sz="8" w:space="0" w:color="000000"/>
              <w:left w:val="single" w:sz="8" w:space="0" w:color="000000"/>
              <w:bottom w:val="single" w:sz="8" w:space="0" w:color="000000"/>
              <w:right w:val="single" w:sz="8" w:space="0" w:color="000000"/>
            </w:tcBorders>
            <w:vAlign w:val="center"/>
          </w:tcPr>
          <w:p w14:paraId="70F3DC4F" w14:textId="77777777" w:rsidR="00963AB6" w:rsidRPr="0033055B" w:rsidRDefault="00963AB6" w:rsidP="003E6550">
            <w:pPr>
              <w:spacing w:line="276" w:lineRule="auto"/>
              <w:jc w:val="center"/>
              <w:rPr>
                <w:rFonts w:cstheme="minorHAnsi"/>
                <w:lang w:val="en-GB"/>
              </w:rPr>
            </w:pPr>
          </w:p>
        </w:tc>
      </w:tr>
    </w:tbl>
    <w:p w14:paraId="7FA64C0B" w14:textId="688C0BE5" w:rsidR="00963AB6" w:rsidRPr="0033055B" w:rsidRDefault="003E6550" w:rsidP="007563F9">
      <w:pPr>
        <w:spacing w:before="120" w:after="120" w:line="240" w:lineRule="auto"/>
        <w:jc w:val="center"/>
        <w:rPr>
          <w:rFonts w:ascii="Calibri" w:eastAsia="Calibri" w:hAnsi="Calibri"/>
          <w:b/>
          <w:iCs/>
        </w:rPr>
      </w:pPr>
      <w:bookmarkStart w:id="43" w:name="_Toc518377710"/>
      <w:r>
        <w:rPr>
          <w:rFonts w:ascii="Calibri" w:hAnsi="Calibri"/>
          <w:b/>
          <w:iCs/>
        </w:rPr>
        <w:t xml:space="preserve">Tabela </w:t>
      </w:r>
      <w:r w:rsidR="00724C64" w:rsidRPr="00DA6459">
        <w:rPr>
          <w:rFonts w:ascii="Calibri" w:eastAsia="Calibri" w:hAnsi="Calibri"/>
          <w:b/>
          <w:iCs/>
        </w:rPr>
        <w:fldChar w:fldCharType="begin"/>
      </w:r>
      <w:r w:rsidRPr="0033055B">
        <w:rPr>
          <w:rFonts w:ascii="Calibri" w:eastAsia="Calibri" w:hAnsi="Calibri"/>
          <w:b/>
          <w:iCs/>
        </w:rPr>
        <w:instrText xml:space="preserve"> SEQ Table \* ARABIC </w:instrText>
      </w:r>
      <w:r w:rsidR="00724C64" w:rsidRPr="00DA6459">
        <w:rPr>
          <w:rFonts w:ascii="Calibri" w:eastAsia="Calibri" w:hAnsi="Calibri"/>
          <w:b/>
          <w:iCs/>
        </w:rPr>
        <w:fldChar w:fldCharType="separate"/>
      </w:r>
      <w:r w:rsidR="00DC4741">
        <w:rPr>
          <w:rFonts w:ascii="Calibri" w:eastAsia="Calibri" w:hAnsi="Calibri"/>
          <w:b/>
          <w:iCs/>
          <w:noProof/>
        </w:rPr>
        <w:t>18</w:t>
      </w:r>
      <w:r w:rsidR="00724C64" w:rsidRPr="00DA6459">
        <w:rPr>
          <w:rFonts w:ascii="Calibri" w:eastAsia="Calibri" w:hAnsi="Calibri"/>
          <w:b/>
          <w:iCs/>
        </w:rPr>
        <w:fldChar w:fldCharType="end"/>
      </w:r>
      <w:r>
        <w:rPr>
          <w:rFonts w:ascii="Calibri" w:hAnsi="Calibri"/>
          <w:b/>
          <w:iCs/>
        </w:rPr>
        <w:t>: Potenciali i disponueshëm në Kosovë për secilën teknologji të energjisë së ripërtërishme në ngrohje-ftohje, për periudhën 2009-2020 (ktoe).</w:t>
      </w:r>
      <w:bookmarkEnd w:id="43"/>
    </w:p>
    <w:tbl>
      <w:tblPr>
        <w:tblStyle w:val="TableGrid0"/>
        <w:tblW w:w="13886" w:type="dxa"/>
        <w:jc w:val="center"/>
        <w:tblInd w:w="0" w:type="dxa"/>
        <w:tblCellMar>
          <w:left w:w="108" w:type="dxa"/>
          <w:right w:w="63" w:type="dxa"/>
        </w:tblCellMar>
        <w:tblLook w:val="04A0" w:firstRow="1" w:lastRow="0" w:firstColumn="1" w:lastColumn="0" w:noHBand="0" w:noVBand="1"/>
      </w:tblPr>
      <w:tblGrid>
        <w:gridCol w:w="3232"/>
        <w:gridCol w:w="887"/>
        <w:gridCol w:w="888"/>
        <w:gridCol w:w="888"/>
        <w:gridCol w:w="888"/>
        <w:gridCol w:w="888"/>
        <w:gridCol w:w="888"/>
        <w:gridCol w:w="887"/>
        <w:gridCol w:w="888"/>
        <w:gridCol w:w="888"/>
        <w:gridCol w:w="888"/>
        <w:gridCol w:w="888"/>
        <w:gridCol w:w="888"/>
      </w:tblGrid>
      <w:tr w:rsidR="00963AB6" w:rsidRPr="0033055B" w14:paraId="47F12409" w14:textId="77777777" w:rsidTr="007563F9">
        <w:trPr>
          <w:trHeight w:val="464"/>
          <w:jc w:val="center"/>
        </w:trPr>
        <w:tc>
          <w:tcPr>
            <w:tcW w:w="323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9C04353" w14:textId="77777777" w:rsidR="00963AB6" w:rsidRPr="0033055B" w:rsidRDefault="00963AB6" w:rsidP="003E6550">
            <w:pPr>
              <w:spacing w:line="276" w:lineRule="auto"/>
              <w:jc w:val="center"/>
              <w:rPr>
                <w:rFonts w:cstheme="minorHAnsi"/>
                <w:b/>
                <w:lang w:val="en-GB"/>
              </w:rPr>
            </w:pPr>
          </w:p>
        </w:tc>
        <w:tc>
          <w:tcPr>
            <w:tcW w:w="88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FE38E69" w14:textId="77777777" w:rsidR="00963AB6" w:rsidRPr="0033055B" w:rsidRDefault="00963AB6" w:rsidP="003E6550">
            <w:pPr>
              <w:spacing w:line="276" w:lineRule="auto"/>
              <w:jc w:val="center"/>
              <w:rPr>
                <w:rFonts w:cstheme="minorHAnsi"/>
                <w:b/>
              </w:rPr>
            </w:pPr>
            <w:r>
              <w:rPr>
                <w:b/>
              </w:rPr>
              <w:t>2009</w:t>
            </w:r>
          </w:p>
        </w:tc>
        <w:tc>
          <w:tcPr>
            <w:tcW w:w="8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7DB2204" w14:textId="77777777" w:rsidR="00963AB6" w:rsidRPr="0033055B" w:rsidRDefault="00963AB6" w:rsidP="003E6550">
            <w:pPr>
              <w:spacing w:line="276" w:lineRule="auto"/>
              <w:jc w:val="center"/>
              <w:rPr>
                <w:rFonts w:cstheme="minorHAnsi"/>
                <w:b/>
              </w:rPr>
            </w:pPr>
            <w:r>
              <w:rPr>
                <w:b/>
              </w:rPr>
              <w:t>2010</w:t>
            </w:r>
          </w:p>
        </w:tc>
        <w:tc>
          <w:tcPr>
            <w:tcW w:w="8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CB4E56B" w14:textId="77777777" w:rsidR="00963AB6" w:rsidRPr="0033055B" w:rsidRDefault="00963AB6" w:rsidP="003E6550">
            <w:pPr>
              <w:spacing w:line="276" w:lineRule="auto"/>
              <w:jc w:val="center"/>
              <w:rPr>
                <w:rFonts w:cstheme="minorHAnsi"/>
                <w:b/>
              </w:rPr>
            </w:pPr>
            <w:r>
              <w:rPr>
                <w:b/>
              </w:rPr>
              <w:t>2011</w:t>
            </w:r>
          </w:p>
        </w:tc>
        <w:tc>
          <w:tcPr>
            <w:tcW w:w="8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2D21E47" w14:textId="77777777" w:rsidR="00963AB6" w:rsidRPr="0033055B" w:rsidRDefault="00963AB6" w:rsidP="003E6550">
            <w:pPr>
              <w:spacing w:line="276" w:lineRule="auto"/>
              <w:jc w:val="center"/>
              <w:rPr>
                <w:rFonts w:cstheme="minorHAnsi"/>
                <w:b/>
              </w:rPr>
            </w:pPr>
            <w:r>
              <w:rPr>
                <w:b/>
              </w:rPr>
              <w:t>2012</w:t>
            </w:r>
          </w:p>
        </w:tc>
        <w:tc>
          <w:tcPr>
            <w:tcW w:w="8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1E04C8D" w14:textId="77777777" w:rsidR="00963AB6" w:rsidRPr="0033055B" w:rsidRDefault="00963AB6" w:rsidP="003E6550">
            <w:pPr>
              <w:spacing w:line="276" w:lineRule="auto"/>
              <w:jc w:val="center"/>
              <w:rPr>
                <w:rFonts w:cstheme="minorHAnsi"/>
                <w:b/>
              </w:rPr>
            </w:pPr>
            <w:r>
              <w:rPr>
                <w:b/>
              </w:rPr>
              <w:t>2013</w:t>
            </w:r>
          </w:p>
        </w:tc>
        <w:tc>
          <w:tcPr>
            <w:tcW w:w="8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4E5B75B" w14:textId="77777777" w:rsidR="00963AB6" w:rsidRPr="0033055B" w:rsidRDefault="00963AB6" w:rsidP="003E6550">
            <w:pPr>
              <w:spacing w:line="276" w:lineRule="auto"/>
              <w:jc w:val="center"/>
              <w:rPr>
                <w:rFonts w:cstheme="minorHAnsi"/>
                <w:b/>
              </w:rPr>
            </w:pPr>
            <w:r>
              <w:rPr>
                <w:b/>
              </w:rPr>
              <w:t>2014</w:t>
            </w:r>
          </w:p>
        </w:tc>
        <w:tc>
          <w:tcPr>
            <w:tcW w:w="88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BB7FAE5" w14:textId="77777777" w:rsidR="00963AB6" w:rsidRPr="0033055B" w:rsidRDefault="00963AB6" w:rsidP="003E6550">
            <w:pPr>
              <w:spacing w:line="276" w:lineRule="auto"/>
              <w:jc w:val="center"/>
              <w:rPr>
                <w:rFonts w:cstheme="minorHAnsi"/>
                <w:b/>
              </w:rPr>
            </w:pPr>
            <w:r>
              <w:rPr>
                <w:b/>
              </w:rPr>
              <w:t>2015</w:t>
            </w:r>
          </w:p>
        </w:tc>
        <w:tc>
          <w:tcPr>
            <w:tcW w:w="8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C20FF0E" w14:textId="77777777" w:rsidR="00963AB6" w:rsidRPr="0033055B" w:rsidRDefault="00963AB6" w:rsidP="003E6550">
            <w:pPr>
              <w:spacing w:line="276" w:lineRule="auto"/>
              <w:jc w:val="center"/>
              <w:rPr>
                <w:rFonts w:cstheme="minorHAnsi"/>
                <w:b/>
              </w:rPr>
            </w:pPr>
            <w:r>
              <w:rPr>
                <w:b/>
              </w:rPr>
              <w:t>2016</w:t>
            </w:r>
          </w:p>
        </w:tc>
        <w:tc>
          <w:tcPr>
            <w:tcW w:w="8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8E58A16" w14:textId="77777777" w:rsidR="00963AB6" w:rsidRPr="0033055B" w:rsidRDefault="00963AB6" w:rsidP="003E6550">
            <w:pPr>
              <w:spacing w:line="276" w:lineRule="auto"/>
              <w:jc w:val="center"/>
              <w:rPr>
                <w:rFonts w:cstheme="minorHAnsi"/>
                <w:b/>
              </w:rPr>
            </w:pPr>
            <w:r>
              <w:rPr>
                <w:b/>
              </w:rPr>
              <w:t>2017</w:t>
            </w:r>
          </w:p>
        </w:tc>
        <w:tc>
          <w:tcPr>
            <w:tcW w:w="8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8EF4B34" w14:textId="77777777" w:rsidR="00963AB6" w:rsidRPr="0033055B" w:rsidRDefault="00963AB6" w:rsidP="003E6550">
            <w:pPr>
              <w:spacing w:line="276" w:lineRule="auto"/>
              <w:jc w:val="center"/>
              <w:rPr>
                <w:rFonts w:cstheme="minorHAnsi"/>
                <w:b/>
              </w:rPr>
            </w:pPr>
            <w:r>
              <w:rPr>
                <w:b/>
              </w:rPr>
              <w:t>2018</w:t>
            </w:r>
          </w:p>
        </w:tc>
        <w:tc>
          <w:tcPr>
            <w:tcW w:w="8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F24E23B" w14:textId="77777777" w:rsidR="00963AB6" w:rsidRPr="0033055B" w:rsidRDefault="00963AB6" w:rsidP="003E6550">
            <w:pPr>
              <w:spacing w:line="276" w:lineRule="auto"/>
              <w:jc w:val="center"/>
              <w:rPr>
                <w:rFonts w:cstheme="minorHAnsi"/>
                <w:b/>
              </w:rPr>
            </w:pPr>
            <w:r>
              <w:rPr>
                <w:b/>
              </w:rPr>
              <w:t>2019</w:t>
            </w:r>
          </w:p>
        </w:tc>
        <w:tc>
          <w:tcPr>
            <w:tcW w:w="8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507D130" w14:textId="77777777" w:rsidR="00963AB6" w:rsidRPr="0033055B" w:rsidRDefault="00963AB6" w:rsidP="003E6550">
            <w:pPr>
              <w:spacing w:line="276" w:lineRule="auto"/>
              <w:jc w:val="center"/>
              <w:rPr>
                <w:rFonts w:cstheme="minorHAnsi"/>
                <w:b/>
              </w:rPr>
            </w:pPr>
            <w:r>
              <w:rPr>
                <w:b/>
              </w:rPr>
              <w:t>2020</w:t>
            </w:r>
          </w:p>
        </w:tc>
      </w:tr>
      <w:tr w:rsidR="00963AB6" w:rsidRPr="0033055B" w14:paraId="52706F5E" w14:textId="77777777" w:rsidTr="003E6550">
        <w:trPr>
          <w:trHeight w:val="263"/>
          <w:jc w:val="center"/>
        </w:trPr>
        <w:tc>
          <w:tcPr>
            <w:tcW w:w="3232" w:type="dxa"/>
            <w:tcBorders>
              <w:top w:val="single" w:sz="4" w:space="0" w:color="000000"/>
              <w:left w:val="single" w:sz="4" w:space="0" w:color="000000"/>
              <w:bottom w:val="nil"/>
              <w:right w:val="single" w:sz="4" w:space="0" w:color="000000"/>
            </w:tcBorders>
          </w:tcPr>
          <w:p w14:paraId="09004204" w14:textId="77777777" w:rsidR="00963AB6" w:rsidRPr="0033055B" w:rsidRDefault="00963AB6" w:rsidP="003E6550">
            <w:pPr>
              <w:spacing w:line="276" w:lineRule="auto"/>
              <w:jc w:val="center"/>
              <w:rPr>
                <w:rFonts w:cstheme="minorHAnsi"/>
              </w:rPr>
            </w:pPr>
            <w:r>
              <w:t>Gjeotermike (duke përjashtuar ngrohjen</w:t>
            </w:r>
          </w:p>
        </w:tc>
        <w:tc>
          <w:tcPr>
            <w:tcW w:w="887" w:type="dxa"/>
            <w:tcBorders>
              <w:top w:val="single" w:sz="4" w:space="0" w:color="000000"/>
              <w:left w:val="single" w:sz="4" w:space="0" w:color="000000"/>
              <w:bottom w:val="nil"/>
              <w:right w:val="single" w:sz="4" w:space="0" w:color="000000"/>
            </w:tcBorders>
          </w:tcPr>
          <w:p w14:paraId="69F157A3" w14:textId="77777777" w:rsidR="00963AB6" w:rsidRPr="0033055B" w:rsidRDefault="00963AB6" w:rsidP="003E6550">
            <w:pPr>
              <w:spacing w:line="276" w:lineRule="auto"/>
              <w:jc w:val="center"/>
              <w:rPr>
                <w:rFonts w:cstheme="minorHAnsi"/>
                <w:lang w:val="en-GB"/>
              </w:rPr>
            </w:pPr>
          </w:p>
        </w:tc>
        <w:tc>
          <w:tcPr>
            <w:tcW w:w="888" w:type="dxa"/>
            <w:tcBorders>
              <w:top w:val="single" w:sz="4" w:space="0" w:color="000000"/>
              <w:left w:val="single" w:sz="4" w:space="0" w:color="000000"/>
              <w:bottom w:val="nil"/>
              <w:right w:val="single" w:sz="4" w:space="0" w:color="000000"/>
            </w:tcBorders>
          </w:tcPr>
          <w:p w14:paraId="6ABBED4A" w14:textId="77777777" w:rsidR="00963AB6" w:rsidRPr="0033055B" w:rsidRDefault="00963AB6" w:rsidP="003E6550">
            <w:pPr>
              <w:spacing w:line="276" w:lineRule="auto"/>
              <w:jc w:val="center"/>
              <w:rPr>
                <w:rFonts w:cstheme="minorHAnsi"/>
                <w:lang w:val="en-GB"/>
              </w:rPr>
            </w:pPr>
          </w:p>
        </w:tc>
        <w:tc>
          <w:tcPr>
            <w:tcW w:w="888" w:type="dxa"/>
            <w:tcBorders>
              <w:top w:val="single" w:sz="4" w:space="0" w:color="000000"/>
              <w:left w:val="single" w:sz="4" w:space="0" w:color="000000"/>
              <w:bottom w:val="nil"/>
              <w:right w:val="single" w:sz="4" w:space="0" w:color="000000"/>
            </w:tcBorders>
          </w:tcPr>
          <w:p w14:paraId="468B315C" w14:textId="77777777" w:rsidR="00963AB6" w:rsidRPr="0033055B" w:rsidRDefault="00963AB6" w:rsidP="003E6550">
            <w:pPr>
              <w:spacing w:line="276" w:lineRule="auto"/>
              <w:jc w:val="center"/>
              <w:rPr>
                <w:rFonts w:cstheme="minorHAnsi"/>
                <w:lang w:val="en-GB"/>
              </w:rPr>
            </w:pPr>
          </w:p>
        </w:tc>
        <w:tc>
          <w:tcPr>
            <w:tcW w:w="888" w:type="dxa"/>
            <w:tcBorders>
              <w:top w:val="single" w:sz="4" w:space="0" w:color="000000"/>
              <w:left w:val="single" w:sz="4" w:space="0" w:color="000000"/>
              <w:bottom w:val="nil"/>
              <w:right w:val="single" w:sz="4" w:space="0" w:color="000000"/>
            </w:tcBorders>
          </w:tcPr>
          <w:p w14:paraId="64F16B77" w14:textId="77777777" w:rsidR="00963AB6" w:rsidRPr="0033055B" w:rsidRDefault="00963AB6" w:rsidP="003E6550">
            <w:pPr>
              <w:spacing w:line="276" w:lineRule="auto"/>
              <w:jc w:val="center"/>
              <w:rPr>
                <w:rFonts w:cstheme="minorHAnsi"/>
                <w:lang w:val="en-GB"/>
              </w:rPr>
            </w:pPr>
          </w:p>
        </w:tc>
        <w:tc>
          <w:tcPr>
            <w:tcW w:w="888" w:type="dxa"/>
            <w:tcBorders>
              <w:top w:val="single" w:sz="4" w:space="0" w:color="000000"/>
              <w:left w:val="single" w:sz="4" w:space="0" w:color="000000"/>
              <w:bottom w:val="nil"/>
              <w:right w:val="single" w:sz="4" w:space="0" w:color="000000"/>
            </w:tcBorders>
          </w:tcPr>
          <w:p w14:paraId="1CB4944B" w14:textId="77777777" w:rsidR="00963AB6" w:rsidRPr="0033055B" w:rsidRDefault="00963AB6" w:rsidP="003E6550">
            <w:pPr>
              <w:spacing w:line="276" w:lineRule="auto"/>
              <w:jc w:val="center"/>
              <w:rPr>
                <w:rFonts w:cstheme="minorHAnsi"/>
                <w:lang w:val="en-GB"/>
              </w:rPr>
            </w:pPr>
          </w:p>
        </w:tc>
        <w:tc>
          <w:tcPr>
            <w:tcW w:w="888" w:type="dxa"/>
            <w:tcBorders>
              <w:top w:val="single" w:sz="4" w:space="0" w:color="000000"/>
              <w:left w:val="single" w:sz="4" w:space="0" w:color="000000"/>
              <w:bottom w:val="nil"/>
              <w:right w:val="single" w:sz="4" w:space="0" w:color="000000"/>
            </w:tcBorders>
          </w:tcPr>
          <w:p w14:paraId="56A9AF7A" w14:textId="77777777" w:rsidR="00963AB6" w:rsidRPr="0033055B" w:rsidRDefault="00963AB6" w:rsidP="003E6550">
            <w:pPr>
              <w:spacing w:line="276" w:lineRule="auto"/>
              <w:jc w:val="center"/>
              <w:rPr>
                <w:rFonts w:cstheme="minorHAnsi"/>
                <w:lang w:val="en-GB"/>
              </w:rPr>
            </w:pPr>
          </w:p>
        </w:tc>
        <w:tc>
          <w:tcPr>
            <w:tcW w:w="887" w:type="dxa"/>
            <w:tcBorders>
              <w:top w:val="single" w:sz="4" w:space="0" w:color="000000"/>
              <w:left w:val="single" w:sz="4" w:space="0" w:color="000000"/>
              <w:bottom w:val="nil"/>
              <w:right w:val="single" w:sz="4" w:space="0" w:color="000000"/>
            </w:tcBorders>
          </w:tcPr>
          <w:p w14:paraId="46BDB7EE" w14:textId="77777777" w:rsidR="00963AB6" w:rsidRPr="0033055B" w:rsidRDefault="00963AB6" w:rsidP="003E6550">
            <w:pPr>
              <w:spacing w:line="276" w:lineRule="auto"/>
              <w:jc w:val="center"/>
              <w:rPr>
                <w:rFonts w:cstheme="minorHAnsi"/>
                <w:lang w:val="en-GB"/>
              </w:rPr>
            </w:pPr>
          </w:p>
        </w:tc>
        <w:tc>
          <w:tcPr>
            <w:tcW w:w="888" w:type="dxa"/>
            <w:tcBorders>
              <w:top w:val="single" w:sz="4" w:space="0" w:color="000000"/>
              <w:left w:val="single" w:sz="4" w:space="0" w:color="000000"/>
              <w:bottom w:val="nil"/>
              <w:right w:val="single" w:sz="4" w:space="0" w:color="000000"/>
            </w:tcBorders>
          </w:tcPr>
          <w:p w14:paraId="774612C7" w14:textId="77777777" w:rsidR="00963AB6" w:rsidRPr="0033055B" w:rsidRDefault="00963AB6" w:rsidP="003E6550">
            <w:pPr>
              <w:spacing w:line="276" w:lineRule="auto"/>
              <w:jc w:val="center"/>
              <w:rPr>
                <w:rFonts w:cstheme="minorHAnsi"/>
                <w:lang w:val="en-GB"/>
              </w:rPr>
            </w:pPr>
          </w:p>
        </w:tc>
        <w:tc>
          <w:tcPr>
            <w:tcW w:w="888" w:type="dxa"/>
            <w:tcBorders>
              <w:top w:val="single" w:sz="4" w:space="0" w:color="000000"/>
              <w:left w:val="single" w:sz="4" w:space="0" w:color="000000"/>
              <w:bottom w:val="nil"/>
              <w:right w:val="single" w:sz="4" w:space="0" w:color="000000"/>
            </w:tcBorders>
          </w:tcPr>
          <w:p w14:paraId="564B5D05" w14:textId="77777777" w:rsidR="00963AB6" w:rsidRPr="0033055B" w:rsidRDefault="00963AB6" w:rsidP="003E6550">
            <w:pPr>
              <w:spacing w:line="276" w:lineRule="auto"/>
              <w:jc w:val="center"/>
              <w:rPr>
                <w:rFonts w:cstheme="minorHAnsi"/>
                <w:lang w:val="en-GB"/>
              </w:rPr>
            </w:pPr>
          </w:p>
        </w:tc>
        <w:tc>
          <w:tcPr>
            <w:tcW w:w="888" w:type="dxa"/>
            <w:tcBorders>
              <w:top w:val="single" w:sz="4" w:space="0" w:color="000000"/>
              <w:left w:val="single" w:sz="4" w:space="0" w:color="000000"/>
              <w:bottom w:val="nil"/>
              <w:right w:val="single" w:sz="4" w:space="0" w:color="000000"/>
            </w:tcBorders>
          </w:tcPr>
          <w:p w14:paraId="243C650E" w14:textId="77777777" w:rsidR="00963AB6" w:rsidRPr="0033055B" w:rsidRDefault="00963AB6" w:rsidP="003E6550">
            <w:pPr>
              <w:spacing w:line="276" w:lineRule="auto"/>
              <w:jc w:val="center"/>
              <w:rPr>
                <w:rFonts w:cstheme="minorHAnsi"/>
                <w:lang w:val="en-GB"/>
              </w:rPr>
            </w:pPr>
          </w:p>
        </w:tc>
        <w:tc>
          <w:tcPr>
            <w:tcW w:w="888" w:type="dxa"/>
            <w:tcBorders>
              <w:top w:val="single" w:sz="4" w:space="0" w:color="000000"/>
              <w:left w:val="single" w:sz="4" w:space="0" w:color="000000"/>
              <w:bottom w:val="nil"/>
              <w:right w:val="single" w:sz="4" w:space="0" w:color="000000"/>
            </w:tcBorders>
          </w:tcPr>
          <w:p w14:paraId="3BFD9491" w14:textId="77777777" w:rsidR="00963AB6" w:rsidRPr="0033055B" w:rsidRDefault="00963AB6" w:rsidP="003E6550">
            <w:pPr>
              <w:spacing w:line="276" w:lineRule="auto"/>
              <w:jc w:val="center"/>
              <w:rPr>
                <w:rFonts w:cstheme="minorHAnsi"/>
                <w:lang w:val="en-GB"/>
              </w:rPr>
            </w:pPr>
          </w:p>
        </w:tc>
        <w:tc>
          <w:tcPr>
            <w:tcW w:w="888" w:type="dxa"/>
            <w:tcBorders>
              <w:top w:val="single" w:sz="4" w:space="0" w:color="000000"/>
              <w:left w:val="single" w:sz="4" w:space="0" w:color="000000"/>
              <w:bottom w:val="nil"/>
              <w:right w:val="single" w:sz="4" w:space="0" w:color="000000"/>
            </w:tcBorders>
          </w:tcPr>
          <w:p w14:paraId="0A394749" w14:textId="77777777" w:rsidR="00963AB6" w:rsidRPr="0033055B" w:rsidRDefault="00963AB6" w:rsidP="003E6550">
            <w:pPr>
              <w:spacing w:line="276" w:lineRule="auto"/>
              <w:jc w:val="center"/>
              <w:rPr>
                <w:rFonts w:cstheme="minorHAnsi"/>
                <w:lang w:val="en-GB"/>
              </w:rPr>
            </w:pPr>
          </w:p>
        </w:tc>
      </w:tr>
      <w:tr w:rsidR="00963AB6" w:rsidRPr="0033055B" w14:paraId="655C5389" w14:textId="77777777" w:rsidTr="003E6550">
        <w:trPr>
          <w:trHeight w:val="502"/>
          <w:jc w:val="center"/>
        </w:trPr>
        <w:tc>
          <w:tcPr>
            <w:tcW w:w="3232" w:type="dxa"/>
            <w:tcBorders>
              <w:top w:val="nil"/>
              <w:left w:val="single" w:sz="4" w:space="0" w:color="000000"/>
              <w:bottom w:val="single" w:sz="4" w:space="0" w:color="000000"/>
              <w:right w:val="single" w:sz="4" w:space="0" w:color="000000"/>
            </w:tcBorders>
          </w:tcPr>
          <w:p w14:paraId="3E6D5DAA" w14:textId="77777777" w:rsidR="00963AB6" w:rsidRPr="0033055B" w:rsidRDefault="00963AB6" w:rsidP="003E6550">
            <w:pPr>
              <w:spacing w:line="276" w:lineRule="auto"/>
              <w:jc w:val="center"/>
              <w:rPr>
                <w:rFonts w:cstheme="minorHAnsi"/>
              </w:rPr>
            </w:pPr>
            <w:r>
              <w:t>Gjeotermike me temperaturë të ulët në aplikime të pompës së ngrohjes)</w:t>
            </w:r>
          </w:p>
        </w:tc>
        <w:tc>
          <w:tcPr>
            <w:tcW w:w="887" w:type="dxa"/>
            <w:tcBorders>
              <w:top w:val="nil"/>
              <w:left w:val="single" w:sz="4" w:space="0" w:color="000000"/>
              <w:bottom w:val="single" w:sz="4" w:space="0" w:color="000000"/>
              <w:right w:val="single" w:sz="4" w:space="0" w:color="000000"/>
            </w:tcBorders>
          </w:tcPr>
          <w:p w14:paraId="04AF078C" w14:textId="77777777" w:rsidR="00963AB6" w:rsidRPr="0033055B" w:rsidRDefault="00963AB6" w:rsidP="003E6550">
            <w:pPr>
              <w:spacing w:line="276" w:lineRule="auto"/>
              <w:jc w:val="center"/>
              <w:rPr>
                <w:rFonts w:cstheme="minorHAnsi"/>
                <w:lang w:val="en-GB"/>
              </w:rPr>
            </w:pPr>
          </w:p>
        </w:tc>
        <w:tc>
          <w:tcPr>
            <w:tcW w:w="888" w:type="dxa"/>
            <w:tcBorders>
              <w:top w:val="nil"/>
              <w:left w:val="single" w:sz="4" w:space="0" w:color="000000"/>
              <w:bottom w:val="single" w:sz="4" w:space="0" w:color="000000"/>
              <w:right w:val="single" w:sz="4" w:space="0" w:color="000000"/>
            </w:tcBorders>
          </w:tcPr>
          <w:p w14:paraId="49C12F98" w14:textId="77777777" w:rsidR="00963AB6" w:rsidRPr="0033055B" w:rsidRDefault="00963AB6" w:rsidP="003E6550">
            <w:pPr>
              <w:spacing w:line="276" w:lineRule="auto"/>
              <w:jc w:val="center"/>
              <w:rPr>
                <w:rFonts w:cstheme="minorHAnsi"/>
                <w:lang w:val="en-GB"/>
              </w:rPr>
            </w:pPr>
          </w:p>
        </w:tc>
        <w:tc>
          <w:tcPr>
            <w:tcW w:w="888" w:type="dxa"/>
            <w:tcBorders>
              <w:top w:val="nil"/>
              <w:left w:val="single" w:sz="4" w:space="0" w:color="000000"/>
              <w:bottom w:val="single" w:sz="4" w:space="0" w:color="000000"/>
              <w:right w:val="single" w:sz="4" w:space="0" w:color="000000"/>
            </w:tcBorders>
          </w:tcPr>
          <w:p w14:paraId="134BBABB" w14:textId="77777777" w:rsidR="00963AB6" w:rsidRPr="0033055B" w:rsidRDefault="00963AB6" w:rsidP="003E6550">
            <w:pPr>
              <w:spacing w:line="276" w:lineRule="auto"/>
              <w:jc w:val="center"/>
              <w:rPr>
                <w:rFonts w:cstheme="minorHAnsi"/>
                <w:lang w:val="en-GB"/>
              </w:rPr>
            </w:pPr>
          </w:p>
        </w:tc>
        <w:tc>
          <w:tcPr>
            <w:tcW w:w="888" w:type="dxa"/>
            <w:tcBorders>
              <w:top w:val="nil"/>
              <w:left w:val="single" w:sz="4" w:space="0" w:color="000000"/>
              <w:bottom w:val="single" w:sz="4" w:space="0" w:color="000000"/>
              <w:right w:val="single" w:sz="4" w:space="0" w:color="000000"/>
            </w:tcBorders>
          </w:tcPr>
          <w:p w14:paraId="5B47499C" w14:textId="77777777" w:rsidR="00963AB6" w:rsidRPr="0033055B" w:rsidRDefault="00963AB6" w:rsidP="003E6550">
            <w:pPr>
              <w:spacing w:line="276" w:lineRule="auto"/>
              <w:jc w:val="center"/>
              <w:rPr>
                <w:rFonts w:cstheme="minorHAnsi"/>
                <w:lang w:val="en-GB"/>
              </w:rPr>
            </w:pPr>
          </w:p>
        </w:tc>
        <w:tc>
          <w:tcPr>
            <w:tcW w:w="888" w:type="dxa"/>
            <w:tcBorders>
              <w:top w:val="nil"/>
              <w:left w:val="single" w:sz="4" w:space="0" w:color="000000"/>
              <w:bottom w:val="single" w:sz="4" w:space="0" w:color="000000"/>
              <w:right w:val="single" w:sz="4" w:space="0" w:color="000000"/>
            </w:tcBorders>
          </w:tcPr>
          <w:p w14:paraId="58DFCFEB" w14:textId="77777777" w:rsidR="00963AB6" w:rsidRPr="0033055B" w:rsidRDefault="00963AB6" w:rsidP="003E6550">
            <w:pPr>
              <w:spacing w:line="276" w:lineRule="auto"/>
              <w:jc w:val="center"/>
              <w:rPr>
                <w:rFonts w:cstheme="minorHAnsi"/>
                <w:lang w:val="en-GB"/>
              </w:rPr>
            </w:pPr>
          </w:p>
        </w:tc>
        <w:tc>
          <w:tcPr>
            <w:tcW w:w="888" w:type="dxa"/>
            <w:tcBorders>
              <w:top w:val="nil"/>
              <w:left w:val="single" w:sz="4" w:space="0" w:color="000000"/>
              <w:bottom w:val="single" w:sz="4" w:space="0" w:color="000000"/>
              <w:right w:val="single" w:sz="4" w:space="0" w:color="000000"/>
            </w:tcBorders>
          </w:tcPr>
          <w:p w14:paraId="1D3859F1" w14:textId="77777777" w:rsidR="00963AB6" w:rsidRPr="0033055B" w:rsidRDefault="00963AB6" w:rsidP="003E6550">
            <w:pPr>
              <w:spacing w:line="276" w:lineRule="auto"/>
              <w:jc w:val="center"/>
              <w:rPr>
                <w:rFonts w:cstheme="minorHAnsi"/>
                <w:lang w:val="en-GB"/>
              </w:rPr>
            </w:pPr>
          </w:p>
        </w:tc>
        <w:tc>
          <w:tcPr>
            <w:tcW w:w="887" w:type="dxa"/>
            <w:tcBorders>
              <w:top w:val="nil"/>
              <w:left w:val="single" w:sz="4" w:space="0" w:color="000000"/>
              <w:bottom w:val="single" w:sz="4" w:space="0" w:color="000000"/>
              <w:right w:val="single" w:sz="4" w:space="0" w:color="000000"/>
            </w:tcBorders>
          </w:tcPr>
          <w:p w14:paraId="15DF37CA" w14:textId="77777777" w:rsidR="00963AB6" w:rsidRPr="0033055B" w:rsidRDefault="00963AB6" w:rsidP="003E6550">
            <w:pPr>
              <w:spacing w:line="276" w:lineRule="auto"/>
              <w:jc w:val="center"/>
              <w:rPr>
                <w:rFonts w:cstheme="minorHAnsi"/>
                <w:lang w:val="en-GB"/>
              </w:rPr>
            </w:pPr>
          </w:p>
        </w:tc>
        <w:tc>
          <w:tcPr>
            <w:tcW w:w="888" w:type="dxa"/>
            <w:tcBorders>
              <w:top w:val="nil"/>
              <w:left w:val="single" w:sz="4" w:space="0" w:color="000000"/>
              <w:bottom w:val="single" w:sz="4" w:space="0" w:color="000000"/>
              <w:right w:val="single" w:sz="4" w:space="0" w:color="000000"/>
            </w:tcBorders>
          </w:tcPr>
          <w:p w14:paraId="2F6BED91" w14:textId="77777777" w:rsidR="00963AB6" w:rsidRPr="0033055B" w:rsidRDefault="00963AB6" w:rsidP="003E6550">
            <w:pPr>
              <w:spacing w:line="276" w:lineRule="auto"/>
              <w:jc w:val="center"/>
              <w:rPr>
                <w:rFonts w:cstheme="minorHAnsi"/>
                <w:lang w:val="en-GB"/>
              </w:rPr>
            </w:pPr>
          </w:p>
        </w:tc>
        <w:tc>
          <w:tcPr>
            <w:tcW w:w="888" w:type="dxa"/>
            <w:tcBorders>
              <w:top w:val="nil"/>
              <w:left w:val="single" w:sz="4" w:space="0" w:color="000000"/>
              <w:bottom w:val="single" w:sz="4" w:space="0" w:color="000000"/>
              <w:right w:val="single" w:sz="4" w:space="0" w:color="000000"/>
            </w:tcBorders>
          </w:tcPr>
          <w:p w14:paraId="5A859B75" w14:textId="77777777" w:rsidR="00963AB6" w:rsidRPr="0033055B" w:rsidRDefault="00963AB6" w:rsidP="003E6550">
            <w:pPr>
              <w:spacing w:line="276" w:lineRule="auto"/>
              <w:jc w:val="center"/>
              <w:rPr>
                <w:rFonts w:cstheme="minorHAnsi"/>
                <w:lang w:val="en-GB"/>
              </w:rPr>
            </w:pPr>
          </w:p>
        </w:tc>
        <w:tc>
          <w:tcPr>
            <w:tcW w:w="888" w:type="dxa"/>
            <w:tcBorders>
              <w:top w:val="nil"/>
              <w:left w:val="single" w:sz="4" w:space="0" w:color="000000"/>
              <w:bottom w:val="single" w:sz="4" w:space="0" w:color="000000"/>
              <w:right w:val="single" w:sz="4" w:space="0" w:color="000000"/>
            </w:tcBorders>
          </w:tcPr>
          <w:p w14:paraId="52A9B1CB" w14:textId="77777777" w:rsidR="00963AB6" w:rsidRPr="0033055B" w:rsidRDefault="00963AB6" w:rsidP="003E6550">
            <w:pPr>
              <w:spacing w:line="276" w:lineRule="auto"/>
              <w:jc w:val="center"/>
              <w:rPr>
                <w:rFonts w:cstheme="minorHAnsi"/>
                <w:lang w:val="en-GB"/>
              </w:rPr>
            </w:pPr>
          </w:p>
        </w:tc>
        <w:tc>
          <w:tcPr>
            <w:tcW w:w="888" w:type="dxa"/>
            <w:tcBorders>
              <w:top w:val="nil"/>
              <w:left w:val="single" w:sz="4" w:space="0" w:color="000000"/>
              <w:bottom w:val="single" w:sz="4" w:space="0" w:color="000000"/>
              <w:right w:val="single" w:sz="4" w:space="0" w:color="000000"/>
            </w:tcBorders>
          </w:tcPr>
          <w:p w14:paraId="53168DDD" w14:textId="77777777" w:rsidR="00963AB6" w:rsidRPr="0033055B" w:rsidRDefault="00963AB6" w:rsidP="003E6550">
            <w:pPr>
              <w:spacing w:line="276" w:lineRule="auto"/>
              <w:jc w:val="center"/>
              <w:rPr>
                <w:rFonts w:cstheme="minorHAnsi"/>
                <w:lang w:val="en-GB"/>
              </w:rPr>
            </w:pPr>
          </w:p>
        </w:tc>
        <w:tc>
          <w:tcPr>
            <w:tcW w:w="888" w:type="dxa"/>
            <w:tcBorders>
              <w:top w:val="nil"/>
              <w:left w:val="single" w:sz="4" w:space="0" w:color="000000"/>
              <w:bottom w:val="single" w:sz="4" w:space="0" w:color="000000"/>
              <w:right w:val="single" w:sz="4" w:space="0" w:color="000000"/>
            </w:tcBorders>
          </w:tcPr>
          <w:p w14:paraId="234D3E50" w14:textId="77777777" w:rsidR="00963AB6" w:rsidRPr="0033055B" w:rsidRDefault="00963AB6" w:rsidP="003E6550">
            <w:pPr>
              <w:spacing w:line="276" w:lineRule="auto"/>
              <w:jc w:val="center"/>
              <w:rPr>
                <w:rFonts w:cstheme="minorHAnsi"/>
                <w:lang w:val="en-GB"/>
              </w:rPr>
            </w:pPr>
          </w:p>
        </w:tc>
      </w:tr>
      <w:tr w:rsidR="00963AB6" w:rsidRPr="0033055B" w14:paraId="44C79FDE" w14:textId="77777777" w:rsidTr="003E6550">
        <w:trPr>
          <w:trHeight w:val="464"/>
          <w:jc w:val="center"/>
        </w:trPr>
        <w:tc>
          <w:tcPr>
            <w:tcW w:w="3232" w:type="dxa"/>
            <w:tcBorders>
              <w:top w:val="single" w:sz="4" w:space="0" w:color="000000"/>
              <w:left w:val="single" w:sz="4" w:space="0" w:color="000000"/>
              <w:bottom w:val="single" w:sz="4" w:space="0" w:color="000000"/>
              <w:right w:val="single" w:sz="4" w:space="0" w:color="000000"/>
            </w:tcBorders>
            <w:vAlign w:val="center"/>
          </w:tcPr>
          <w:p w14:paraId="21FD8BC2" w14:textId="77777777" w:rsidR="00963AB6" w:rsidRPr="0033055B" w:rsidRDefault="00963AB6" w:rsidP="003E6550">
            <w:pPr>
              <w:spacing w:line="276" w:lineRule="auto"/>
              <w:jc w:val="center"/>
              <w:rPr>
                <w:rFonts w:cstheme="minorHAnsi"/>
              </w:rPr>
            </w:pPr>
            <w:r>
              <w:t>Diellore</w:t>
            </w:r>
          </w:p>
        </w:tc>
        <w:tc>
          <w:tcPr>
            <w:tcW w:w="887" w:type="dxa"/>
            <w:tcBorders>
              <w:top w:val="single" w:sz="4" w:space="0" w:color="000000"/>
              <w:left w:val="single" w:sz="4" w:space="0" w:color="000000"/>
              <w:bottom w:val="single" w:sz="4" w:space="0" w:color="000000"/>
              <w:right w:val="single" w:sz="4" w:space="0" w:color="000000"/>
            </w:tcBorders>
            <w:vAlign w:val="center"/>
          </w:tcPr>
          <w:p w14:paraId="16E754EA" w14:textId="77777777" w:rsidR="00963AB6" w:rsidRPr="0033055B" w:rsidRDefault="00963AB6" w:rsidP="003E6550">
            <w:pPr>
              <w:spacing w:line="276" w:lineRule="auto"/>
              <w:jc w:val="center"/>
              <w:rPr>
                <w:rFonts w:cstheme="minorHAnsi"/>
              </w:rPr>
            </w:pPr>
            <w:r>
              <w:t>0.2</w:t>
            </w:r>
          </w:p>
        </w:tc>
        <w:tc>
          <w:tcPr>
            <w:tcW w:w="888" w:type="dxa"/>
            <w:tcBorders>
              <w:top w:val="single" w:sz="4" w:space="0" w:color="000000"/>
              <w:left w:val="single" w:sz="4" w:space="0" w:color="000000"/>
              <w:bottom w:val="single" w:sz="4" w:space="0" w:color="000000"/>
              <w:right w:val="single" w:sz="4" w:space="0" w:color="000000"/>
            </w:tcBorders>
            <w:vAlign w:val="center"/>
          </w:tcPr>
          <w:p w14:paraId="43B15AC4" w14:textId="77777777" w:rsidR="00963AB6" w:rsidRPr="0033055B" w:rsidRDefault="00963AB6" w:rsidP="003E6550">
            <w:pPr>
              <w:spacing w:line="276" w:lineRule="auto"/>
              <w:jc w:val="center"/>
              <w:rPr>
                <w:rFonts w:cstheme="minorHAnsi"/>
              </w:rPr>
            </w:pPr>
            <w:r>
              <w:t>0.2</w:t>
            </w:r>
          </w:p>
        </w:tc>
        <w:tc>
          <w:tcPr>
            <w:tcW w:w="888" w:type="dxa"/>
            <w:tcBorders>
              <w:top w:val="single" w:sz="4" w:space="0" w:color="000000"/>
              <w:left w:val="single" w:sz="4" w:space="0" w:color="000000"/>
              <w:bottom w:val="single" w:sz="4" w:space="0" w:color="000000"/>
              <w:right w:val="single" w:sz="4" w:space="0" w:color="000000"/>
            </w:tcBorders>
            <w:vAlign w:val="center"/>
          </w:tcPr>
          <w:p w14:paraId="05F3EF2B" w14:textId="77777777" w:rsidR="00963AB6" w:rsidRPr="0033055B" w:rsidRDefault="00963AB6" w:rsidP="003E6550">
            <w:pPr>
              <w:spacing w:line="276" w:lineRule="auto"/>
              <w:jc w:val="center"/>
              <w:rPr>
                <w:rFonts w:cstheme="minorHAnsi"/>
              </w:rPr>
            </w:pPr>
            <w:r>
              <w:t>0.2</w:t>
            </w:r>
          </w:p>
        </w:tc>
        <w:tc>
          <w:tcPr>
            <w:tcW w:w="888" w:type="dxa"/>
            <w:tcBorders>
              <w:top w:val="single" w:sz="4" w:space="0" w:color="000000"/>
              <w:left w:val="single" w:sz="4" w:space="0" w:color="000000"/>
              <w:bottom w:val="single" w:sz="4" w:space="0" w:color="000000"/>
              <w:right w:val="single" w:sz="4" w:space="0" w:color="000000"/>
            </w:tcBorders>
            <w:vAlign w:val="center"/>
          </w:tcPr>
          <w:p w14:paraId="7A2AEF8D" w14:textId="77777777" w:rsidR="00963AB6" w:rsidRPr="0033055B" w:rsidRDefault="00963AB6" w:rsidP="003E6550">
            <w:pPr>
              <w:spacing w:line="276" w:lineRule="auto"/>
              <w:jc w:val="center"/>
              <w:rPr>
                <w:rFonts w:cstheme="minorHAnsi"/>
              </w:rPr>
            </w:pPr>
            <w:r>
              <w:t>0.3</w:t>
            </w:r>
          </w:p>
        </w:tc>
        <w:tc>
          <w:tcPr>
            <w:tcW w:w="888" w:type="dxa"/>
            <w:tcBorders>
              <w:top w:val="single" w:sz="4" w:space="0" w:color="000000"/>
              <w:left w:val="single" w:sz="4" w:space="0" w:color="000000"/>
              <w:bottom w:val="single" w:sz="4" w:space="0" w:color="000000"/>
              <w:right w:val="single" w:sz="4" w:space="0" w:color="000000"/>
            </w:tcBorders>
            <w:vAlign w:val="center"/>
          </w:tcPr>
          <w:p w14:paraId="5C34F77F" w14:textId="77777777" w:rsidR="00963AB6" w:rsidRPr="0033055B" w:rsidRDefault="00963AB6" w:rsidP="003E6550">
            <w:pPr>
              <w:spacing w:line="276" w:lineRule="auto"/>
              <w:jc w:val="center"/>
              <w:rPr>
                <w:rFonts w:cstheme="minorHAnsi"/>
              </w:rPr>
            </w:pPr>
            <w:r>
              <w:t>0.3</w:t>
            </w:r>
          </w:p>
        </w:tc>
        <w:tc>
          <w:tcPr>
            <w:tcW w:w="888" w:type="dxa"/>
            <w:tcBorders>
              <w:top w:val="single" w:sz="4" w:space="0" w:color="000000"/>
              <w:left w:val="single" w:sz="4" w:space="0" w:color="000000"/>
              <w:bottom w:val="single" w:sz="4" w:space="0" w:color="000000"/>
              <w:right w:val="single" w:sz="4" w:space="0" w:color="000000"/>
            </w:tcBorders>
            <w:vAlign w:val="center"/>
          </w:tcPr>
          <w:p w14:paraId="7707A5F7" w14:textId="77777777" w:rsidR="00963AB6" w:rsidRPr="0033055B" w:rsidRDefault="00963AB6" w:rsidP="003E6550">
            <w:pPr>
              <w:spacing w:line="276" w:lineRule="auto"/>
              <w:jc w:val="center"/>
              <w:rPr>
                <w:rFonts w:cstheme="minorHAnsi"/>
              </w:rPr>
            </w:pPr>
            <w:r>
              <w:t>0.3</w:t>
            </w:r>
          </w:p>
        </w:tc>
        <w:tc>
          <w:tcPr>
            <w:tcW w:w="887" w:type="dxa"/>
            <w:tcBorders>
              <w:top w:val="single" w:sz="4" w:space="0" w:color="000000"/>
              <w:left w:val="single" w:sz="4" w:space="0" w:color="000000"/>
              <w:bottom w:val="single" w:sz="4" w:space="0" w:color="000000"/>
              <w:right w:val="single" w:sz="4" w:space="0" w:color="000000"/>
            </w:tcBorders>
            <w:vAlign w:val="center"/>
          </w:tcPr>
          <w:p w14:paraId="7B76E4F8" w14:textId="77777777" w:rsidR="00963AB6" w:rsidRPr="0033055B" w:rsidRDefault="00963AB6" w:rsidP="003E6550">
            <w:pPr>
              <w:spacing w:line="276" w:lineRule="auto"/>
              <w:jc w:val="center"/>
              <w:rPr>
                <w:rFonts w:cstheme="minorHAnsi"/>
              </w:rPr>
            </w:pPr>
            <w:r>
              <w:t>0.3</w:t>
            </w:r>
          </w:p>
        </w:tc>
        <w:tc>
          <w:tcPr>
            <w:tcW w:w="888" w:type="dxa"/>
            <w:tcBorders>
              <w:top w:val="single" w:sz="4" w:space="0" w:color="000000"/>
              <w:left w:val="single" w:sz="4" w:space="0" w:color="000000"/>
              <w:bottom w:val="single" w:sz="4" w:space="0" w:color="000000"/>
              <w:right w:val="single" w:sz="4" w:space="0" w:color="000000"/>
            </w:tcBorders>
            <w:vAlign w:val="center"/>
          </w:tcPr>
          <w:p w14:paraId="1B3B0232" w14:textId="77777777" w:rsidR="00963AB6" w:rsidRPr="0033055B" w:rsidRDefault="00963AB6" w:rsidP="003E6550">
            <w:pPr>
              <w:spacing w:line="276" w:lineRule="auto"/>
              <w:jc w:val="center"/>
              <w:rPr>
                <w:rFonts w:cstheme="minorHAnsi"/>
              </w:rPr>
            </w:pPr>
            <w:r>
              <w:t>0.3</w:t>
            </w:r>
          </w:p>
        </w:tc>
        <w:tc>
          <w:tcPr>
            <w:tcW w:w="888" w:type="dxa"/>
            <w:tcBorders>
              <w:top w:val="single" w:sz="4" w:space="0" w:color="000000"/>
              <w:left w:val="single" w:sz="4" w:space="0" w:color="000000"/>
              <w:bottom w:val="single" w:sz="4" w:space="0" w:color="000000"/>
              <w:right w:val="single" w:sz="4" w:space="0" w:color="000000"/>
            </w:tcBorders>
            <w:vAlign w:val="center"/>
          </w:tcPr>
          <w:p w14:paraId="41CFF4A2" w14:textId="77777777" w:rsidR="00963AB6" w:rsidRPr="0033055B" w:rsidRDefault="00963AB6" w:rsidP="003E6550">
            <w:pPr>
              <w:spacing w:line="276" w:lineRule="auto"/>
              <w:jc w:val="center"/>
              <w:rPr>
                <w:rFonts w:cstheme="minorHAnsi"/>
              </w:rPr>
            </w:pPr>
            <w:r>
              <w:t>0.3</w:t>
            </w:r>
          </w:p>
        </w:tc>
        <w:tc>
          <w:tcPr>
            <w:tcW w:w="888" w:type="dxa"/>
            <w:tcBorders>
              <w:top w:val="single" w:sz="4" w:space="0" w:color="000000"/>
              <w:left w:val="single" w:sz="4" w:space="0" w:color="000000"/>
              <w:bottom w:val="single" w:sz="4" w:space="0" w:color="000000"/>
              <w:right w:val="single" w:sz="4" w:space="0" w:color="000000"/>
            </w:tcBorders>
            <w:vAlign w:val="center"/>
          </w:tcPr>
          <w:p w14:paraId="61E8B4BB" w14:textId="77777777" w:rsidR="00963AB6" w:rsidRPr="0033055B" w:rsidRDefault="00963AB6" w:rsidP="003E6550">
            <w:pPr>
              <w:spacing w:line="276" w:lineRule="auto"/>
              <w:jc w:val="center"/>
              <w:rPr>
                <w:rFonts w:cstheme="minorHAnsi"/>
              </w:rPr>
            </w:pPr>
            <w:r>
              <w:t>1.3</w:t>
            </w:r>
          </w:p>
        </w:tc>
        <w:tc>
          <w:tcPr>
            <w:tcW w:w="888" w:type="dxa"/>
            <w:tcBorders>
              <w:top w:val="single" w:sz="4" w:space="0" w:color="000000"/>
              <w:left w:val="single" w:sz="4" w:space="0" w:color="000000"/>
              <w:bottom w:val="single" w:sz="4" w:space="0" w:color="000000"/>
              <w:right w:val="single" w:sz="4" w:space="0" w:color="000000"/>
            </w:tcBorders>
            <w:vAlign w:val="center"/>
          </w:tcPr>
          <w:p w14:paraId="376A4785" w14:textId="77777777" w:rsidR="00963AB6" w:rsidRPr="0033055B" w:rsidRDefault="00963AB6" w:rsidP="003E6550">
            <w:pPr>
              <w:spacing w:line="276" w:lineRule="auto"/>
              <w:jc w:val="center"/>
              <w:rPr>
                <w:rFonts w:cstheme="minorHAnsi"/>
              </w:rPr>
            </w:pPr>
            <w:r>
              <w:t>2.2</w:t>
            </w:r>
          </w:p>
        </w:tc>
        <w:tc>
          <w:tcPr>
            <w:tcW w:w="888" w:type="dxa"/>
            <w:tcBorders>
              <w:top w:val="single" w:sz="4" w:space="0" w:color="000000"/>
              <w:left w:val="single" w:sz="4" w:space="0" w:color="000000"/>
              <w:bottom w:val="single" w:sz="4" w:space="0" w:color="000000"/>
              <w:right w:val="single" w:sz="4" w:space="0" w:color="000000"/>
            </w:tcBorders>
            <w:vAlign w:val="center"/>
          </w:tcPr>
          <w:p w14:paraId="03468E24" w14:textId="77777777" w:rsidR="00963AB6" w:rsidRPr="0033055B" w:rsidRDefault="00963AB6" w:rsidP="003E6550">
            <w:pPr>
              <w:spacing w:line="276" w:lineRule="auto"/>
              <w:jc w:val="center"/>
              <w:rPr>
                <w:rFonts w:cstheme="minorHAnsi"/>
              </w:rPr>
            </w:pPr>
            <w:r>
              <w:t>4.2</w:t>
            </w:r>
          </w:p>
        </w:tc>
      </w:tr>
      <w:tr w:rsidR="00963AB6" w:rsidRPr="0033055B" w14:paraId="55346274" w14:textId="77777777" w:rsidTr="003E6550">
        <w:trPr>
          <w:trHeight w:val="463"/>
          <w:jc w:val="center"/>
        </w:trPr>
        <w:tc>
          <w:tcPr>
            <w:tcW w:w="3232" w:type="dxa"/>
            <w:tcBorders>
              <w:top w:val="single" w:sz="4" w:space="0" w:color="000000"/>
              <w:left w:val="single" w:sz="4" w:space="0" w:color="000000"/>
              <w:bottom w:val="single" w:sz="4" w:space="0" w:color="000000"/>
              <w:right w:val="single" w:sz="4" w:space="0" w:color="000000"/>
            </w:tcBorders>
            <w:vAlign w:val="center"/>
          </w:tcPr>
          <w:p w14:paraId="394CE89C" w14:textId="77777777" w:rsidR="00963AB6" w:rsidRPr="0033055B" w:rsidRDefault="00963AB6" w:rsidP="003E6550">
            <w:pPr>
              <w:spacing w:line="276" w:lineRule="auto"/>
              <w:jc w:val="center"/>
              <w:rPr>
                <w:rFonts w:cstheme="minorHAnsi"/>
              </w:rPr>
            </w:pPr>
            <w:r>
              <w:t>Biomasa:</w:t>
            </w:r>
          </w:p>
        </w:tc>
        <w:tc>
          <w:tcPr>
            <w:tcW w:w="887" w:type="dxa"/>
            <w:tcBorders>
              <w:top w:val="single" w:sz="4" w:space="0" w:color="000000"/>
              <w:left w:val="single" w:sz="4" w:space="0" w:color="000000"/>
              <w:bottom w:val="single" w:sz="4" w:space="0" w:color="000000"/>
              <w:right w:val="single" w:sz="4" w:space="0" w:color="000000"/>
            </w:tcBorders>
            <w:vAlign w:val="center"/>
          </w:tcPr>
          <w:p w14:paraId="568474CC" w14:textId="77777777" w:rsidR="00963AB6" w:rsidRPr="0033055B" w:rsidRDefault="00963AB6" w:rsidP="003E6550">
            <w:pPr>
              <w:spacing w:line="276" w:lineRule="auto"/>
              <w:jc w:val="center"/>
              <w:rPr>
                <w:rFonts w:cstheme="minorHAnsi"/>
                <w:lang w:val="en-GB"/>
              </w:rPr>
            </w:pPr>
          </w:p>
        </w:tc>
        <w:tc>
          <w:tcPr>
            <w:tcW w:w="888" w:type="dxa"/>
            <w:tcBorders>
              <w:top w:val="single" w:sz="4" w:space="0" w:color="000000"/>
              <w:left w:val="single" w:sz="4" w:space="0" w:color="000000"/>
              <w:bottom w:val="single" w:sz="4" w:space="0" w:color="000000"/>
              <w:right w:val="single" w:sz="4" w:space="0" w:color="000000"/>
            </w:tcBorders>
            <w:vAlign w:val="center"/>
          </w:tcPr>
          <w:p w14:paraId="3281A4EE" w14:textId="77777777" w:rsidR="00963AB6" w:rsidRPr="0033055B" w:rsidRDefault="00963AB6" w:rsidP="003E6550">
            <w:pPr>
              <w:spacing w:line="276" w:lineRule="auto"/>
              <w:jc w:val="center"/>
              <w:rPr>
                <w:rFonts w:cstheme="minorHAnsi"/>
                <w:lang w:val="en-GB"/>
              </w:rPr>
            </w:pPr>
          </w:p>
        </w:tc>
        <w:tc>
          <w:tcPr>
            <w:tcW w:w="888" w:type="dxa"/>
            <w:tcBorders>
              <w:top w:val="single" w:sz="4" w:space="0" w:color="000000"/>
              <w:left w:val="single" w:sz="4" w:space="0" w:color="000000"/>
              <w:bottom w:val="single" w:sz="4" w:space="0" w:color="000000"/>
              <w:right w:val="single" w:sz="4" w:space="0" w:color="000000"/>
            </w:tcBorders>
            <w:vAlign w:val="center"/>
          </w:tcPr>
          <w:p w14:paraId="32A10ABD" w14:textId="77777777" w:rsidR="00963AB6" w:rsidRPr="0033055B" w:rsidRDefault="00963AB6" w:rsidP="003E6550">
            <w:pPr>
              <w:spacing w:line="276" w:lineRule="auto"/>
              <w:jc w:val="center"/>
              <w:rPr>
                <w:rFonts w:cstheme="minorHAnsi"/>
                <w:lang w:val="en-GB"/>
              </w:rPr>
            </w:pPr>
          </w:p>
        </w:tc>
        <w:tc>
          <w:tcPr>
            <w:tcW w:w="888" w:type="dxa"/>
            <w:tcBorders>
              <w:top w:val="single" w:sz="4" w:space="0" w:color="000000"/>
              <w:left w:val="single" w:sz="4" w:space="0" w:color="000000"/>
              <w:bottom w:val="single" w:sz="4" w:space="0" w:color="000000"/>
              <w:right w:val="single" w:sz="4" w:space="0" w:color="000000"/>
            </w:tcBorders>
            <w:vAlign w:val="center"/>
          </w:tcPr>
          <w:p w14:paraId="6725CB0D" w14:textId="77777777" w:rsidR="00963AB6" w:rsidRPr="0033055B" w:rsidRDefault="00963AB6" w:rsidP="003E6550">
            <w:pPr>
              <w:spacing w:line="276" w:lineRule="auto"/>
              <w:jc w:val="center"/>
              <w:rPr>
                <w:rFonts w:cstheme="minorHAnsi"/>
                <w:lang w:val="en-GB"/>
              </w:rPr>
            </w:pPr>
          </w:p>
        </w:tc>
        <w:tc>
          <w:tcPr>
            <w:tcW w:w="888" w:type="dxa"/>
            <w:tcBorders>
              <w:top w:val="single" w:sz="4" w:space="0" w:color="000000"/>
              <w:left w:val="single" w:sz="4" w:space="0" w:color="000000"/>
              <w:bottom w:val="single" w:sz="4" w:space="0" w:color="000000"/>
              <w:right w:val="single" w:sz="4" w:space="0" w:color="000000"/>
            </w:tcBorders>
            <w:vAlign w:val="center"/>
          </w:tcPr>
          <w:p w14:paraId="2FEB9C1F" w14:textId="77777777" w:rsidR="00963AB6" w:rsidRPr="0033055B" w:rsidRDefault="00963AB6" w:rsidP="003E6550">
            <w:pPr>
              <w:spacing w:line="276" w:lineRule="auto"/>
              <w:jc w:val="center"/>
              <w:rPr>
                <w:rFonts w:cstheme="minorHAnsi"/>
                <w:lang w:val="en-GB"/>
              </w:rPr>
            </w:pPr>
          </w:p>
        </w:tc>
        <w:tc>
          <w:tcPr>
            <w:tcW w:w="888" w:type="dxa"/>
            <w:tcBorders>
              <w:top w:val="single" w:sz="4" w:space="0" w:color="000000"/>
              <w:left w:val="single" w:sz="4" w:space="0" w:color="000000"/>
              <w:bottom w:val="single" w:sz="4" w:space="0" w:color="000000"/>
              <w:right w:val="single" w:sz="4" w:space="0" w:color="000000"/>
            </w:tcBorders>
            <w:vAlign w:val="center"/>
          </w:tcPr>
          <w:p w14:paraId="7CD12866" w14:textId="77777777" w:rsidR="00963AB6" w:rsidRPr="0033055B" w:rsidRDefault="00963AB6" w:rsidP="003E6550">
            <w:pPr>
              <w:spacing w:line="276" w:lineRule="auto"/>
              <w:jc w:val="center"/>
              <w:rPr>
                <w:rFonts w:cstheme="minorHAnsi"/>
                <w:lang w:val="en-GB"/>
              </w:rPr>
            </w:pPr>
          </w:p>
        </w:tc>
        <w:tc>
          <w:tcPr>
            <w:tcW w:w="887" w:type="dxa"/>
            <w:tcBorders>
              <w:top w:val="single" w:sz="4" w:space="0" w:color="000000"/>
              <w:left w:val="single" w:sz="4" w:space="0" w:color="000000"/>
              <w:bottom w:val="single" w:sz="4" w:space="0" w:color="000000"/>
              <w:right w:val="single" w:sz="4" w:space="0" w:color="000000"/>
            </w:tcBorders>
            <w:vAlign w:val="center"/>
          </w:tcPr>
          <w:p w14:paraId="7F07DAC5" w14:textId="77777777" w:rsidR="00963AB6" w:rsidRPr="0033055B" w:rsidRDefault="00963AB6" w:rsidP="003E6550">
            <w:pPr>
              <w:spacing w:line="276" w:lineRule="auto"/>
              <w:jc w:val="center"/>
              <w:rPr>
                <w:rFonts w:cstheme="minorHAnsi"/>
                <w:lang w:val="en-GB"/>
              </w:rPr>
            </w:pPr>
          </w:p>
        </w:tc>
        <w:tc>
          <w:tcPr>
            <w:tcW w:w="888" w:type="dxa"/>
            <w:tcBorders>
              <w:top w:val="single" w:sz="4" w:space="0" w:color="000000"/>
              <w:left w:val="single" w:sz="4" w:space="0" w:color="000000"/>
              <w:bottom w:val="single" w:sz="4" w:space="0" w:color="000000"/>
              <w:right w:val="single" w:sz="4" w:space="0" w:color="000000"/>
            </w:tcBorders>
            <w:vAlign w:val="center"/>
          </w:tcPr>
          <w:p w14:paraId="6B60B25F" w14:textId="77777777" w:rsidR="00963AB6" w:rsidRPr="0033055B" w:rsidRDefault="00963AB6" w:rsidP="003E6550">
            <w:pPr>
              <w:spacing w:line="276" w:lineRule="auto"/>
              <w:jc w:val="center"/>
              <w:rPr>
                <w:rFonts w:cstheme="minorHAnsi"/>
                <w:lang w:val="en-GB"/>
              </w:rPr>
            </w:pPr>
          </w:p>
        </w:tc>
        <w:tc>
          <w:tcPr>
            <w:tcW w:w="888" w:type="dxa"/>
            <w:tcBorders>
              <w:top w:val="single" w:sz="4" w:space="0" w:color="000000"/>
              <w:left w:val="single" w:sz="4" w:space="0" w:color="000000"/>
              <w:bottom w:val="single" w:sz="4" w:space="0" w:color="000000"/>
              <w:right w:val="single" w:sz="4" w:space="0" w:color="000000"/>
            </w:tcBorders>
            <w:vAlign w:val="center"/>
          </w:tcPr>
          <w:p w14:paraId="77A7DB9F" w14:textId="77777777" w:rsidR="00963AB6" w:rsidRPr="0033055B" w:rsidRDefault="00963AB6" w:rsidP="003E6550">
            <w:pPr>
              <w:spacing w:line="276" w:lineRule="auto"/>
              <w:jc w:val="center"/>
              <w:rPr>
                <w:rFonts w:cstheme="minorHAnsi"/>
                <w:lang w:val="en-GB"/>
              </w:rPr>
            </w:pPr>
          </w:p>
        </w:tc>
        <w:tc>
          <w:tcPr>
            <w:tcW w:w="888" w:type="dxa"/>
            <w:tcBorders>
              <w:top w:val="single" w:sz="4" w:space="0" w:color="000000"/>
              <w:left w:val="single" w:sz="4" w:space="0" w:color="000000"/>
              <w:bottom w:val="single" w:sz="4" w:space="0" w:color="000000"/>
              <w:right w:val="single" w:sz="4" w:space="0" w:color="000000"/>
            </w:tcBorders>
            <w:vAlign w:val="center"/>
          </w:tcPr>
          <w:p w14:paraId="7DA15F5D" w14:textId="77777777" w:rsidR="00963AB6" w:rsidRPr="0033055B" w:rsidRDefault="00963AB6" w:rsidP="003E6550">
            <w:pPr>
              <w:spacing w:line="276" w:lineRule="auto"/>
              <w:jc w:val="center"/>
              <w:rPr>
                <w:rFonts w:cstheme="minorHAnsi"/>
                <w:lang w:val="en-GB"/>
              </w:rPr>
            </w:pPr>
          </w:p>
        </w:tc>
        <w:tc>
          <w:tcPr>
            <w:tcW w:w="888" w:type="dxa"/>
            <w:tcBorders>
              <w:top w:val="single" w:sz="4" w:space="0" w:color="000000"/>
              <w:left w:val="single" w:sz="4" w:space="0" w:color="000000"/>
              <w:bottom w:val="single" w:sz="4" w:space="0" w:color="000000"/>
              <w:right w:val="single" w:sz="4" w:space="0" w:color="000000"/>
            </w:tcBorders>
            <w:vAlign w:val="center"/>
          </w:tcPr>
          <w:p w14:paraId="32D475B0" w14:textId="77777777" w:rsidR="00963AB6" w:rsidRPr="0033055B" w:rsidRDefault="00963AB6" w:rsidP="003E6550">
            <w:pPr>
              <w:spacing w:line="276" w:lineRule="auto"/>
              <w:jc w:val="center"/>
              <w:rPr>
                <w:rFonts w:cstheme="minorHAnsi"/>
                <w:lang w:val="en-GB"/>
              </w:rPr>
            </w:pPr>
          </w:p>
        </w:tc>
        <w:tc>
          <w:tcPr>
            <w:tcW w:w="888" w:type="dxa"/>
            <w:tcBorders>
              <w:top w:val="single" w:sz="4" w:space="0" w:color="000000"/>
              <w:left w:val="single" w:sz="4" w:space="0" w:color="000000"/>
              <w:bottom w:val="single" w:sz="4" w:space="0" w:color="000000"/>
              <w:right w:val="single" w:sz="4" w:space="0" w:color="000000"/>
            </w:tcBorders>
            <w:vAlign w:val="center"/>
          </w:tcPr>
          <w:p w14:paraId="1BB3A101" w14:textId="77777777" w:rsidR="00963AB6" w:rsidRPr="0033055B" w:rsidRDefault="00963AB6" w:rsidP="003E6550">
            <w:pPr>
              <w:spacing w:line="276" w:lineRule="auto"/>
              <w:jc w:val="center"/>
              <w:rPr>
                <w:rFonts w:cstheme="minorHAnsi"/>
                <w:lang w:val="en-GB"/>
              </w:rPr>
            </w:pPr>
          </w:p>
        </w:tc>
      </w:tr>
      <w:tr w:rsidR="009972A6" w:rsidRPr="0033055B" w14:paraId="5C7A10D4" w14:textId="77777777" w:rsidTr="003E6550">
        <w:trPr>
          <w:trHeight w:val="464"/>
          <w:jc w:val="center"/>
        </w:trPr>
        <w:tc>
          <w:tcPr>
            <w:tcW w:w="3232" w:type="dxa"/>
            <w:tcBorders>
              <w:top w:val="single" w:sz="4" w:space="0" w:color="000000"/>
              <w:left w:val="single" w:sz="4" w:space="0" w:color="000000"/>
              <w:bottom w:val="single" w:sz="4" w:space="0" w:color="000000"/>
              <w:right w:val="single" w:sz="4" w:space="0" w:color="000000"/>
            </w:tcBorders>
            <w:vAlign w:val="center"/>
          </w:tcPr>
          <w:p w14:paraId="55B1D3BB" w14:textId="77777777" w:rsidR="009972A6" w:rsidRPr="0033055B" w:rsidRDefault="009972A6" w:rsidP="009972A6">
            <w:pPr>
              <w:spacing w:line="276" w:lineRule="auto"/>
              <w:ind w:left="172"/>
              <w:jc w:val="center"/>
              <w:rPr>
                <w:rFonts w:cstheme="minorHAnsi"/>
              </w:rPr>
            </w:pPr>
            <w:r>
              <w:rPr>
                <w:i/>
              </w:rPr>
              <w:t>ngurtë</w:t>
            </w:r>
          </w:p>
        </w:tc>
        <w:tc>
          <w:tcPr>
            <w:tcW w:w="887" w:type="dxa"/>
            <w:tcBorders>
              <w:top w:val="single" w:sz="4" w:space="0" w:color="000000"/>
              <w:left w:val="single" w:sz="4" w:space="0" w:color="000000"/>
              <w:bottom w:val="single" w:sz="4" w:space="0" w:color="000000"/>
              <w:right w:val="single" w:sz="4" w:space="0" w:color="000000"/>
            </w:tcBorders>
            <w:vAlign w:val="center"/>
          </w:tcPr>
          <w:p w14:paraId="221493BD" w14:textId="77777777" w:rsidR="009972A6" w:rsidRPr="0033055B" w:rsidRDefault="009972A6" w:rsidP="009972A6">
            <w:pPr>
              <w:spacing w:line="276" w:lineRule="auto"/>
              <w:jc w:val="center"/>
              <w:rPr>
                <w:rFonts w:cstheme="minorHAnsi"/>
              </w:rPr>
            </w:pPr>
            <w:r>
              <w:t>224</w:t>
            </w:r>
          </w:p>
        </w:tc>
        <w:tc>
          <w:tcPr>
            <w:tcW w:w="888" w:type="dxa"/>
            <w:tcBorders>
              <w:top w:val="single" w:sz="4" w:space="0" w:color="000000"/>
              <w:left w:val="single" w:sz="4" w:space="0" w:color="000000"/>
              <w:bottom w:val="single" w:sz="4" w:space="0" w:color="000000"/>
              <w:right w:val="single" w:sz="4" w:space="0" w:color="000000"/>
            </w:tcBorders>
            <w:vAlign w:val="center"/>
          </w:tcPr>
          <w:p w14:paraId="0A74753B" w14:textId="77777777" w:rsidR="009972A6" w:rsidRPr="0033055B" w:rsidRDefault="009972A6" w:rsidP="009972A6">
            <w:pPr>
              <w:spacing w:line="276" w:lineRule="auto"/>
              <w:jc w:val="center"/>
              <w:rPr>
                <w:rFonts w:cstheme="minorHAnsi"/>
              </w:rPr>
            </w:pPr>
            <w:r>
              <w:t>226</w:t>
            </w:r>
          </w:p>
        </w:tc>
        <w:tc>
          <w:tcPr>
            <w:tcW w:w="888" w:type="dxa"/>
            <w:tcBorders>
              <w:top w:val="single" w:sz="4" w:space="0" w:color="000000"/>
              <w:left w:val="single" w:sz="4" w:space="0" w:color="000000"/>
              <w:bottom w:val="single" w:sz="4" w:space="0" w:color="000000"/>
              <w:right w:val="single" w:sz="4" w:space="0" w:color="000000"/>
            </w:tcBorders>
            <w:vAlign w:val="center"/>
          </w:tcPr>
          <w:p w14:paraId="30C21B6C" w14:textId="77777777" w:rsidR="009972A6" w:rsidRPr="0033055B" w:rsidRDefault="009972A6" w:rsidP="009972A6">
            <w:pPr>
              <w:spacing w:line="276" w:lineRule="auto"/>
              <w:jc w:val="center"/>
              <w:rPr>
                <w:rFonts w:cstheme="minorHAnsi"/>
              </w:rPr>
            </w:pPr>
            <w:r>
              <w:t>231</w:t>
            </w:r>
          </w:p>
        </w:tc>
        <w:tc>
          <w:tcPr>
            <w:tcW w:w="888" w:type="dxa"/>
            <w:tcBorders>
              <w:top w:val="single" w:sz="4" w:space="0" w:color="000000"/>
              <w:left w:val="single" w:sz="4" w:space="0" w:color="000000"/>
              <w:bottom w:val="single" w:sz="4" w:space="0" w:color="000000"/>
              <w:right w:val="single" w:sz="4" w:space="0" w:color="000000"/>
            </w:tcBorders>
            <w:vAlign w:val="center"/>
          </w:tcPr>
          <w:p w14:paraId="21A2C08C" w14:textId="77777777" w:rsidR="009972A6" w:rsidRPr="0033055B" w:rsidRDefault="009972A6" w:rsidP="009972A6">
            <w:pPr>
              <w:spacing w:line="276" w:lineRule="auto"/>
              <w:jc w:val="center"/>
              <w:rPr>
                <w:rFonts w:cstheme="minorHAnsi"/>
              </w:rPr>
            </w:pPr>
            <w:r>
              <w:t>236</w:t>
            </w:r>
          </w:p>
        </w:tc>
        <w:tc>
          <w:tcPr>
            <w:tcW w:w="888" w:type="dxa"/>
            <w:tcBorders>
              <w:top w:val="single" w:sz="4" w:space="0" w:color="000000"/>
              <w:left w:val="single" w:sz="4" w:space="0" w:color="000000"/>
              <w:bottom w:val="single" w:sz="4" w:space="0" w:color="000000"/>
              <w:right w:val="single" w:sz="4" w:space="0" w:color="000000"/>
            </w:tcBorders>
            <w:vAlign w:val="center"/>
          </w:tcPr>
          <w:p w14:paraId="7BC18B2E" w14:textId="77777777" w:rsidR="009972A6" w:rsidRPr="0033055B" w:rsidRDefault="009972A6" w:rsidP="009972A6">
            <w:pPr>
              <w:spacing w:line="276" w:lineRule="auto"/>
              <w:jc w:val="center"/>
              <w:rPr>
                <w:rFonts w:cstheme="minorHAnsi"/>
              </w:rPr>
            </w:pPr>
            <w:r>
              <w:t>236</w:t>
            </w:r>
          </w:p>
        </w:tc>
        <w:tc>
          <w:tcPr>
            <w:tcW w:w="888" w:type="dxa"/>
            <w:tcBorders>
              <w:top w:val="single" w:sz="4" w:space="0" w:color="000000"/>
              <w:left w:val="single" w:sz="4" w:space="0" w:color="000000"/>
              <w:bottom w:val="single" w:sz="4" w:space="0" w:color="000000"/>
              <w:right w:val="single" w:sz="4" w:space="0" w:color="000000"/>
            </w:tcBorders>
            <w:vAlign w:val="center"/>
          </w:tcPr>
          <w:p w14:paraId="4B055920" w14:textId="77777777" w:rsidR="009972A6" w:rsidRPr="0033055B" w:rsidRDefault="009972A6" w:rsidP="009972A6">
            <w:pPr>
              <w:spacing w:line="276" w:lineRule="auto"/>
              <w:jc w:val="center"/>
              <w:rPr>
                <w:rFonts w:cstheme="minorHAnsi"/>
              </w:rPr>
            </w:pPr>
            <w:r>
              <w:t>240</w:t>
            </w:r>
          </w:p>
        </w:tc>
        <w:tc>
          <w:tcPr>
            <w:tcW w:w="887" w:type="dxa"/>
            <w:tcBorders>
              <w:top w:val="single" w:sz="4" w:space="0" w:color="000000"/>
              <w:left w:val="single" w:sz="4" w:space="0" w:color="000000"/>
              <w:bottom w:val="single" w:sz="4" w:space="0" w:color="000000"/>
              <w:right w:val="single" w:sz="4" w:space="0" w:color="000000"/>
            </w:tcBorders>
            <w:vAlign w:val="center"/>
          </w:tcPr>
          <w:p w14:paraId="2738EC61" w14:textId="77777777" w:rsidR="009972A6" w:rsidRPr="0033055B" w:rsidRDefault="009972A6" w:rsidP="009972A6">
            <w:pPr>
              <w:spacing w:line="276" w:lineRule="auto"/>
              <w:jc w:val="center"/>
              <w:rPr>
                <w:rFonts w:cstheme="minorHAnsi"/>
              </w:rPr>
            </w:pPr>
            <w:r>
              <w:t>251</w:t>
            </w:r>
          </w:p>
        </w:tc>
        <w:tc>
          <w:tcPr>
            <w:tcW w:w="888" w:type="dxa"/>
            <w:tcBorders>
              <w:top w:val="single" w:sz="4" w:space="0" w:color="000000"/>
              <w:left w:val="single" w:sz="4" w:space="0" w:color="000000"/>
              <w:bottom w:val="single" w:sz="4" w:space="0" w:color="000000"/>
              <w:right w:val="single" w:sz="4" w:space="0" w:color="000000"/>
            </w:tcBorders>
            <w:vAlign w:val="center"/>
          </w:tcPr>
          <w:p w14:paraId="4DD11137" w14:textId="77777777" w:rsidR="009972A6" w:rsidRPr="0033055B" w:rsidRDefault="009972A6" w:rsidP="009972A6">
            <w:pPr>
              <w:spacing w:line="276" w:lineRule="auto"/>
              <w:jc w:val="center"/>
              <w:rPr>
                <w:rFonts w:cstheme="minorHAnsi"/>
              </w:rPr>
            </w:pPr>
            <w:r>
              <w:t>251</w:t>
            </w:r>
          </w:p>
        </w:tc>
        <w:tc>
          <w:tcPr>
            <w:tcW w:w="888" w:type="dxa"/>
            <w:tcBorders>
              <w:top w:val="single" w:sz="4" w:space="0" w:color="000000"/>
              <w:left w:val="single" w:sz="4" w:space="0" w:color="000000"/>
              <w:bottom w:val="single" w:sz="4" w:space="0" w:color="000000"/>
              <w:right w:val="single" w:sz="4" w:space="0" w:color="000000"/>
            </w:tcBorders>
            <w:vAlign w:val="center"/>
          </w:tcPr>
          <w:p w14:paraId="688E4BDC" w14:textId="77777777" w:rsidR="009972A6" w:rsidRPr="0033055B" w:rsidRDefault="009972A6" w:rsidP="009972A6">
            <w:pPr>
              <w:spacing w:line="276" w:lineRule="auto"/>
              <w:jc w:val="center"/>
              <w:rPr>
                <w:rFonts w:cstheme="minorHAnsi"/>
              </w:rPr>
            </w:pPr>
            <w:r>
              <w:t>251</w:t>
            </w:r>
          </w:p>
        </w:tc>
        <w:tc>
          <w:tcPr>
            <w:tcW w:w="888" w:type="dxa"/>
            <w:tcBorders>
              <w:top w:val="single" w:sz="4" w:space="0" w:color="000000"/>
              <w:left w:val="single" w:sz="4" w:space="0" w:color="000000"/>
              <w:bottom w:val="single" w:sz="4" w:space="0" w:color="000000"/>
              <w:right w:val="single" w:sz="4" w:space="0" w:color="000000"/>
            </w:tcBorders>
            <w:vAlign w:val="center"/>
          </w:tcPr>
          <w:p w14:paraId="360131CE" w14:textId="77777777" w:rsidR="009972A6" w:rsidRPr="0033055B" w:rsidRDefault="009972A6" w:rsidP="009972A6">
            <w:pPr>
              <w:spacing w:line="276" w:lineRule="auto"/>
              <w:jc w:val="center"/>
              <w:rPr>
                <w:rFonts w:cstheme="minorHAnsi"/>
              </w:rPr>
            </w:pPr>
            <w:r>
              <w:t>260</w:t>
            </w:r>
          </w:p>
        </w:tc>
        <w:tc>
          <w:tcPr>
            <w:tcW w:w="888" w:type="dxa"/>
            <w:tcBorders>
              <w:top w:val="single" w:sz="4" w:space="0" w:color="000000"/>
              <w:left w:val="single" w:sz="4" w:space="0" w:color="000000"/>
              <w:bottom w:val="single" w:sz="4" w:space="0" w:color="000000"/>
              <w:right w:val="single" w:sz="4" w:space="0" w:color="000000"/>
            </w:tcBorders>
            <w:vAlign w:val="center"/>
          </w:tcPr>
          <w:p w14:paraId="66E0817A" w14:textId="77777777" w:rsidR="009972A6" w:rsidRPr="0033055B" w:rsidRDefault="009972A6" w:rsidP="009972A6">
            <w:pPr>
              <w:spacing w:line="276" w:lineRule="auto"/>
              <w:jc w:val="center"/>
              <w:rPr>
                <w:rFonts w:cstheme="minorHAnsi"/>
              </w:rPr>
            </w:pPr>
            <w:r>
              <w:t>268</w:t>
            </w:r>
          </w:p>
        </w:tc>
        <w:tc>
          <w:tcPr>
            <w:tcW w:w="888" w:type="dxa"/>
            <w:tcBorders>
              <w:top w:val="single" w:sz="4" w:space="0" w:color="000000"/>
              <w:left w:val="single" w:sz="4" w:space="0" w:color="000000"/>
              <w:bottom w:val="single" w:sz="4" w:space="0" w:color="000000"/>
              <w:right w:val="single" w:sz="4" w:space="0" w:color="000000"/>
            </w:tcBorders>
            <w:vAlign w:val="center"/>
          </w:tcPr>
          <w:p w14:paraId="4DD416C3" w14:textId="77777777" w:rsidR="009972A6" w:rsidRPr="0033055B" w:rsidRDefault="009972A6" w:rsidP="009972A6">
            <w:pPr>
              <w:spacing w:line="276" w:lineRule="auto"/>
              <w:jc w:val="center"/>
              <w:rPr>
                <w:rFonts w:cstheme="minorHAnsi"/>
              </w:rPr>
            </w:pPr>
            <w:r>
              <w:t>283</w:t>
            </w:r>
          </w:p>
        </w:tc>
      </w:tr>
      <w:tr w:rsidR="00963AB6" w:rsidRPr="0033055B" w14:paraId="5B9DFB89" w14:textId="77777777" w:rsidTr="003E6550">
        <w:trPr>
          <w:trHeight w:val="464"/>
          <w:jc w:val="center"/>
        </w:trPr>
        <w:tc>
          <w:tcPr>
            <w:tcW w:w="3232" w:type="dxa"/>
            <w:tcBorders>
              <w:top w:val="single" w:sz="4" w:space="0" w:color="000000"/>
              <w:left w:val="single" w:sz="4" w:space="0" w:color="000000"/>
              <w:bottom w:val="single" w:sz="4" w:space="0" w:color="000000"/>
              <w:right w:val="single" w:sz="4" w:space="0" w:color="000000"/>
            </w:tcBorders>
            <w:vAlign w:val="center"/>
          </w:tcPr>
          <w:p w14:paraId="51E474A0" w14:textId="77777777" w:rsidR="00963AB6" w:rsidRPr="0033055B" w:rsidRDefault="00963AB6" w:rsidP="003E6550">
            <w:pPr>
              <w:spacing w:line="276" w:lineRule="auto"/>
              <w:ind w:left="172"/>
              <w:jc w:val="center"/>
              <w:rPr>
                <w:rFonts w:cstheme="minorHAnsi"/>
              </w:rPr>
            </w:pPr>
            <w:r>
              <w:rPr>
                <w:i/>
              </w:rPr>
              <w:t>biogaz</w:t>
            </w:r>
          </w:p>
        </w:tc>
        <w:tc>
          <w:tcPr>
            <w:tcW w:w="887" w:type="dxa"/>
            <w:tcBorders>
              <w:top w:val="single" w:sz="4" w:space="0" w:color="000000"/>
              <w:left w:val="single" w:sz="4" w:space="0" w:color="000000"/>
              <w:bottom w:val="single" w:sz="4" w:space="0" w:color="000000"/>
              <w:right w:val="single" w:sz="4" w:space="0" w:color="000000"/>
            </w:tcBorders>
            <w:vAlign w:val="center"/>
          </w:tcPr>
          <w:p w14:paraId="445AEF46" w14:textId="77777777" w:rsidR="00963AB6" w:rsidRPr="0033055B" w:rsidRDefault="00963AB6" w:rsidP="003E6550">
            <w:pPr>
              <w:spacing w:line="276" w:lineRule="auto"/>
              <w:jc w:val="center"/>
              <w:rPr>
                <w:rFonts w:cstheme="minorHAnsi"/>
                <w:lang w:val="en-GB"/>
              </w:rPr>
            </w:pPr>
          </w:p>
        </w:tc>
        <w:tc>
          <w:tcPr>
            <w:tcW w:w="888" w:type="dxa"/>
            <w:tcBorders>
              <w:top w:val="single" w:sz="4" w:space="0" w:color="000000"/>
              <w:left w:val="single" w:sz="4" w:space="0" w:color="000000"/>
              <w:bottom w:val="single" w:sz="4" w:space="0" w:color="000000"/>
              <w:right w:val="single" w:sz="4" w:space="0" w:color="000000"/>
            </w:tcBorders>
            <w:vAlign w:val="center"/>
          </w:tcPr>
          <w:p w14:paraId="6F9A1F67" w14:textId="77777777" w:rsidR="00963AB6" w:rsidRPr="0033055B" w:rsidRDefault="00963AB6" w:rsidP="003E6550">
            <w:pPr>
              <w:spacing w:line="276" w:lineRule="auto"/>
              <w:jc w:val="center"/>
              <w:rPr>
                <w:rFonts w:cstheme="minorHAnsi"/>
                <w:lang w:val="en-GB"/>
              </w:rPr>
            </w:pPr>
          </w:p>
        </w:tc>
        <w:tc>
          <w:tcPr>
            <w:tcW w:w="888" w:type="dxa"/>
            <w:tcBorders>
              <w:top w:val="single" w:sz="4" w:space="0" w:color="000000"/>
              <w:left w:val="single" w:sz="4" w:space="0" w:color="000000"/>
              <w:bottom w:val="single" w:sz="4" w:space="0" w:color="000000"/>
              <w:right w:val="single" w:sz="4" w:space="0" w:color="000000"/>
            </w:tcBorders>
            <w:vAlign w:val="center"/>
          </w:tcPr>
          <w:p w14:paraId="06B39D7F" w14:textId="77777777" w:rsidR="00963AB6" w:rsidRPr="0033055B" w:rsidRDefault="00963AB6" w:rsidP="003E6550">
            <w:pPr>
              <w:spacing w:line="276" w:lineRule="auto"/>
              <w:jc w:val="center"/>
              <w:rPr>
                <w:rFonts w:cstheme="minorHAnsi"/>
                <w:lang w:val="en-GB"/>
              </w:rPr>
            </w:pPr>
          </w:p>
        </w:tc>
        <w:tc>
          <w:tcPr>
            <w:tcW w:w="888" w:type="dxa"/>
            <w:tcBorders>
              <w:top w:val="single" w:sz="4" w:space="0" w:color="000000"/>
              <w:left w:val="single" w:sz="4" w:space="0" w:color="000000"/>
              <w:bottom w:val="single" w:sz="4" w:space="0" w:color="000000"/>
              <w:right w:val="single" w:sz="4" w:space="0" w:color="000000"/>
            </w:tcBorders>
            <w:vAlign w:val="center"/>
          </w:tcPr>
          <w:p w14:paraId="33ADB3FB" w14:textId="77777777" w:rsidR="00963AB6" w:rsidRPr="0033055B" w:rsidRDefault="00963AB6" w:rsidP="003E6550">
            <w:pPr>
              <w:spacing w:line="276" w:lineRule="auto"/>
              <w:jc w:val="center"/>
              <w:rPr>
                <w:rFonts w:cstheme="minorHAnsi"/>
                <w:lang w:val="en-GB"/>
              </w:rPr>
            </w:pPr>
          </w:p>
        </w:tc>
        <w:tc>
          <w:tcPr>
            <w:tcW w:w="888" w:type="dxa"/>
            <w:tcBorders>
              <w:top w:val="single" w:sz="4" w:space="0" w:color="000000"/>
              <w:left w:val="single" w:sz="4" w:space="0" w:color="000000"/>
              <w:bottom w:val="single" w:sz="4" w:space="0" w:color="000000"/>
              <w:right w:val="single" w:sz="4" w:space="0" w:color="000000"/>
            </w:tcBorders>
            <w:vAlign w:val="center"/>
          </w:tcPr>
          <w:p w14:paraId="29DE696B" w14:textId="77777777" w:rsidR="00963AB6" w:rsidRPr="0033055B" w:rsidRDefault="00963AB6" w:rsidP="003E6550">
            <w:pPr>
              <w:spacing w:line="276" w:lineRule="auto"/>
              <w:jc w:val="center"/>
              <w:rPr>
                <w:rFonts w:cstheme="minorHAnsi"/>
                <w:lang w:val="en-GB"/>
              </w:rPr>
            </w:pPr>
          </w:p>
        </w:tc>
        <w:tc>
          <w:tcPr>
            <w:tcW w:w="888" w:type="dxa"/>
            <w:tcBorders>
              <w:top w:val="single" w:sz="4" w:space="0" w:color="000000"/>
              <w:left w:val="single" w:sz="4" w:space="0" w:color="000000"/>
              <w:bottom w:val="single" w:sz="4" w:space="0" w:color="000000"/>
              <w:right w:val="single" w:sz="4" w:space="0" w:color="000000"/>
            </w:tcBorders>
            <w:vAlign w:val="center"/>
          </w:tcPr>
          <w:p w14:paraId="547F016A" w14:textId="77777777" w:rsidR="00963AB6" w:rsidRPr="0033055B" w:rsidRDefault="00963AB6" w:rsidP="003E6550">
            <w:pPr>
              <w:spacing w:line="276" w:lineRule="auto"/>
              <w:jc w:val="center"/>
              <w:rPr>
                <w:rFonts w:cstheme="minorHAnsi"/>
                <w:lang w:val="en-GB"/>
              </w:rPr>
            </w:pPr>
          </w:p>
        </w:tc>
        <w:tc>
          <w:tcPr>
            <w:tcW w:w="887" w:type="dxa"/>
            <w:tcBorders>
              <w:top w:val="single" w:sz="4" w:space="0" w:color="000000"/>
              <w:left w:val="single" w:sz="4" w:space="0" w:color="000000"/>
              <w:bottom w:val="single" w:sz="4" w:space="0" w:color="000000"/>
              <w:right w:val="single" w:sz="4" w:space="0" w:color="000000"/>
            </w:tcBorders>
            <w:vAlign w:val="center"/>
          </w:tcPr>
          <w:p w14:paraId="27662DA7" w14:textId="77777777" w:rsidR="00963AB6" w:rsidRPr="0033055B" w:rsidRDefault="00963AB6" w:rsidP="003E6550">
            <w:pPr>
              <w:spacing w:line="276" w:lineRule="auto"/>
              <w:jc w:val="center"/>
              <w:rPr>
                <w:rFonts w:cstheme="minorHAnsi"/>
                <w:lang w:val="en-GB"/>
              </w:rPr>
            </w:pPr>
          </w:p>
        </w:tc>
        <w:tc>
          <w:tcPr>
            <w:tcW w:w="888" w:type="dxa"/>
            <w:tcBorders>
              <w:top w:val="single" w:sz="4" w:space="0" w:color="000000"/>
              <w:left w:val="single" w:sz="4" w:space="0" w:color="000000"/>
              <w:bottom w:val="single" w:sz="4" w:space="0" w:color="000000"/>
              <w:right w:val="single" w:sz="4" w:space="0" w:color="000000"/>
            </w:tcBorders>
            <w:vAlign w:val="center"/>
          </w:tcPr>
          <w:p w14:paraId="15F239F6" w14:textId="77777777" w:rsidR="00963AB6" w:rsidRPr="0033055B" w:rsidRDefault="00963AB6" w:rsidP="003E6550">
            <w:pPr>
              <w:spacing w:line="276" w:lineRule="auto"/>
              <w:jc w:val="center"/>
              <w:rPr>
                <w:rFonts w:cstheme="minorHAnsi"/>
                <w:lang w:val="en-GB"/>
              </w:rPr>
            </w:pPr>
          </w:p>
        </w:tc>
        <w:tc>
          <w:tcPr>
            <w:tcW w:w="888" w:type="dxa"/>
            <w:tcBorders>
              <w:top w:val="single" w:sz="4" w:space="0" w:color="000000"/>
              <w:left w:val="single" w:sz="4" w:space="0" w:color="000000"/>
              <w:bottom w:val="single" w:sz="4" w:space="0" w:color="000000"/>
              <w:right w:val="single" w:sz="4" w:space="0" w:color="000000"/>
            </w:tcBorders>
            <w:vAlign w:val="center"/>
          </w:tcPr>
          <w:p w14:paraId="08A64120" w14:textId="77777777" w:rsidR="00963AB6" w:rsidRPr="0033055B" w:rsidRDefault="00963AB6" w:rsidP="003E6550">
            <w:pPr>
              <w:spacing w:line="276" w:lineRule="auto"/>
              <w:jc w:val="center"/>
              <w:rPr>
                <w:rFonts w:cstheme="minorHAnsi"/>
                <w:lang w:val="en-GB"/>
              </w:rPr>
            </w:pPr>
          </w:p>
        </w:tc>
        <w:tc>
          <w:tcPr>
            <w:tcW w:w="888" w:type="dxa"/>
            <w:tcBorders>
              <w:top w:val="single" w:sz="4" w:space="0" w:color="000000"/>
              <w:left w:val="single" w:sz="4" w:space="0" w:color="000000"/>
              <w:bottom w:val="single" w:sz="4" w:space="0" w:color="000000"/>
              <w:right w:val="single" w:sz="4" w:space="0" w:color="000000"/>
            </w:tcBorders>
            <w:vAlign w:val="center"/>
          </w:tcPr>
          <w:p w14:paraId="6D1D2949" w14:textId="77777777" w:rsidR="00963AB6" w:rsidRPr="0033055B" w:rsidRDefault="00963AB6" w:rsidP="003E6550">
            <w:pPr>
              <w:spacing w:line="276" w:lineRule="auto"/>
              <w:jc w:val="center"/>
              <w:rPr>
                <w:rFonts w:cstheme="minorHAnsi"/>
                <w:lang w:val="en-GB"/>
              </w:rPr>
            </w:pPr>
          </w:p>
        </w:tc>
        <w:tc>
          <w:tcPr>
            <w:tcW w:w="888" w:type="dxa"/>
            <w:tcBorders>
              <w:top w:val="single" w:sz="4" w:space="0" w:color="000000"/>
              <w:left w:val="single" w:sz="4" w:space="0" w:color="000000"/>
              <w:bottom w:val="single" w:sz="4" w:space="0" w:color="000000"/>
              <w:right w:val="single" w:sz="4" w:space="0" w:color="000000"/>
            </w:tcBorders>
            <w:vAlign w:val="center"/>
          </w:tcPr>
          <w:p w14:paraId="12C5CC5C" w14:textId="77777777" w:rsidR="00963AB6" w:rsidRPr="0033055B" w:rsidRDefault="00963AB6" w:rsidP="003E6550">
            <w:pPr>
              <w:spacing w:line="276" w:lineRule="auto"/>
              <w:jc w:val="center"/>
              <w:rPr>
                <w:rFonts w:cstheme="minorHAnsi"/>
                <w:lang w:val="en-GB"/>
              </w:rPr>
            </w:pPr>
          </w:p>
        </w:tc>
        <w:tc>
          <w:tcPr>
            <w:tcW w:w="888" w:type="dxa"/>
            <w:tcBorders>
              <w:top w:val="single" w:sz="4" w:space="0" w:color="000000"/>
              <w:left w:val="single" w:sz="4" w:space="0" w:color="000000"/>
              <w:bottom w:val="single" w:sz="4" w:space="0" w:color="000000"/>
              <w:right w:val="single" w:sz="4" w:space="0" w:color="000000"/>
            </w:tcBorders>
            <w:vAlign w:val="center"/>
          </w:tcPr>
          <w:p w14:paraId="493D9C32" w14:textId="77777777" w:rsidR="00963AB6" w:rsidRPr="0033055B" w:rsidRDefault="00963AB6" w:rsidP="003E6550">
            <w:pPr>
              <w:spacing w:line="276" w:lineRule="auto"/>
              <w:jc w:val="center"/>
              <w:rPr>
                <w:rFonts w:cstheme="minorHAnsi"/>
                <w:lang w:val="en-GB"/>
              </w:rPr>
            </w:pPr>
          </w:p>
        </w:tc>
      </w:tr>
      <w:tr w:rsidR="00963AB6" w:rsidRPr="0033055B" w14:paraId="47320626" w14:textId="77777777" w:rsidTr="003E6550">
        <w:trPr>
          <w:trHeight w:val="463"/>
          <w:jc w:val="center"/>
        </w:trPr>
        <w:tc>
          <w:tcPr>
            <w:tcW w:w="3232" w:type="dxa"/>
            <w:tcBorders>
              <w:top w:val="single" w:sz="4" w:space="0" w:color="000000"/>
              <w:left w:val="single" w:sz="4" w:space="0" w:color="000000"/>
              <w:bottom w:val="single" w:sz="4" w:space="0" w:color="000000"/>
              <w:right w:val="single" w:sz="4" w:space="0" w:color="000000"/>
            </w:tcBorders>
          </w:tcPr>
          <w:p w14:paraId="56C79AA6" w14:textId="77777777" w:rsidR="00963AB6" w:rsidRPr="0033055B" w:rsidRDefault="00963AB6" w:rsidP="003E6550">
            <w:pPr>
              <w:spacing w:line="276" w:lineRule="auto"/>
              <w:ind w:left="172"/>
              <w:jc w:val="center"/>
              <w:rPr>
                <w:rFonts w:cstheme="minorHAnsi"/>
              </w:rPr>
            </w:pPr>
            <w:r>
              <w:rPr>
                <w:i/>
              </w:rPr>
              <w:t>bio-lëngje</w:t>
            </w:r>
            <w:r w:rsidR="00724C64" w:rsidRPr="00DA6459">
              <w:rPr>
                <w:rStyle w:val="FootnoteReference"/>
                <w:rFonts w:cstheme="minorHAnsi"/>
                <w:i/>
                <w:lang w:val="en-GB"/>
              </w:rPr>
              <w:footnoteReference w:id="26"/>
            </w:r>
          </w:p>
        </w:tc>
        <w:tc>
          <w:tcPr>
            <w:tcW w:w="887" w:type="dxa"/>
            <w:tcBorders>
              <w:top w:val="single" w:sz="4" w:space="0" w:color="000000"/>
              <w:left w:val="single" w:sz="4" w:space="0" w:color="000000"/>
              <w:bottom w:val="single" w:sz="4" w:space="0" w:color="000000"/>
              <w:right w:val="single" w:sz="4" w:space="0" w:color="000000"/>
            </w:tcBorders>
            <w:vAlign w:val="center"/>
          </w:tcPr>
          <w:p w14:paraId="4284B104" w14:textId="77777777" w:rsidR="00963AB6" w:rsidRPr="0033055B" w:rsidRDefault="00963AB6" w:rsidP="003E6550">
            <w:pPr>
              <w:spacing w:line="276" w:lineRule="auto"/>
              <w:jc w:val="center"/>
              <w:rPr>
                <w:rFonts w:cstheme="minorHAnsi"/>
                <w:lang w:val="en-GB"/>
              </w:rPr>
            </w:pPr>
          </w:p>
        </w:tc>
        <w:tc>
          <w:tcPr>
            <w:tcW w:w="888" w:type="dxa"/>
            <w:tcBorders>
              <w:top w:val="single" w:sz="4" w:space="0" w:color="000000"/>
              <w:left w:val="single" w:sz="4" w:space="0" w:color="000000"/>
              <w:bottom w:val="single" w:sz="4" w:space="0" w:color="000000"/>
              <w:right w:val="single" w:sz="4" w:space="0" w:color="000000"/>
            </w:tcBorders>
            <w:vAlign w:val="center"/>
          </w:tcPr>
          <w:p w14:paraId="7787B0B4" w14:textId="77777777" w:rsidR="00963AB6" w:rsidRPr="0033055B" w:rsidRDefault="00963AB6" w:rsidP="003E6550">
            <w:pPr>
              <w:spacing w:line="276" w:lineRule="auto"/>
              <w:jc w:val="center"/>
              <w:rPr>
                <w:rFonts w:cstheme="minorHAnsi"/>
                <w:lang w:val="en-GB"/>
              </w:rPr>
            </w:pPr>
          </w:p>
        </w:tc>
        <w:tc>
          <w:tcPr>
            <w:tcW w:w="888" w:type="dxa"/>
            <w:tcBorders>
              <w:top w:val="single" w:sz="4" w:space="0" w:color="000000"/>
              <w:left w:val="single" w:sz="4" w:space="0" w:color="000000"/>
              <w:bottom w:val="single" w:sz="4" w:space="0" w:color="000000"/>
              <w:right w:val="single" w:sz="4" w:space="0" w:color="000000"/>
            </w:tcBorders>
            <w:vAlign w:val="center"/>
          </w:tcPr>
          <w:p w14:paraId="2B92E9D2" w14:textId="77777777" w:rsidR="00963AB6" w:rsidRPr="0033055B" w:rsidRDefault="00963AB6" w:rsidP="003E6550">
            <w:pPr>
              <w:spacing w:line="276" w:lineRule="auto"/>
              <w:jc w:val="center"/>
              <w:rPr>
                <w:rFonts w:cstheme="minorHAnsi"/>
                <w:lang w:val="en-GB"/>
              </w:rPr>
            </w:pPr>
          </w:p>
        </w:tc>
        <w:tc>
          <w:tcPr>
            <w:tcW w:w="888" w:type="dxa"/>
            <w:tcBorders>
              <w:top w:val="single" w:sz="4" w:space="0" w:color="000000"/>
              <w:left w:val="single" w:sz="4" w:space="0" w:color="000000"/>
              <w:bottom w:val="single" w:sz="4" w:space="0" w:color="000000"/>
              <w:right w:val="single" w:sz="4" w:space="0" w:color="000000"/>
            </w:tcBorders>
            <w:vAlign w:val="center"/>
          </w:tcPr>
          <w:p w14:paraId="3E20DDA7" w14:textId="77777777" w:rsidR="00963AB6" w:rsidRPr="0033055B" w:rsidRDefault="00963AB6" w:rsidP="003E6550">
            <w:pPr>
              <w:spacing w:line="276" w:lineRule="auto"/>
              <w:jc w:val="center"/>
              <w:rPr>
                <w:rFonts w:cstheme="minorHAnsi"/>
                <w:lang w:val="en-GB"/>
              </w:rPr>
            </w:pPr>
          </w:p>
        </w:tc>
        <w:tc>
          <w:tcPr>
            <w:tcW w:w="888" w:type="dxa"/>
            <w:tcBorders>
              <w:top w:val="single" w:sz="4" w:space="0" w:color="000000"/>
              <w:left w:val="single" w:sz="4" w:space="0" w:color="000000"/>
              <w:bottom w:val="single" w:sz="4" w:space="0" w:color="000000"/>
              <w:right w:val="single" w:sz="4" w:space="0" w:color="000000"/>
            </w:tcBorders>
            <w:vAlign w:val="center"/>
          </w:tcPr>
          <w:p w14:paraId="0DE42AA2" w14:textId="77777777" w:rsidR="00963AB6" w:rsidRPr="0033055B" w:rsidRDefault="00963AB6" w:rsidP="003E6550">
            <w:pPr>
              <w:spacing w:line="276" w:lineRule="auto"/>
              <w:jc w:val="center"/>
              <w:rPr>
                <w:rFonts w:cstheme="minorHAnsi"/>
                <w:lang w:val="en-GB"/>
              </w:rPr>
            </w:pPr>
          </w:p>
        </w:tc>
        <w:tc>
          <w:tcPr>
            <w:tcW w:w="888" w:type="dxa"/>
            <w:tcBorders>
              <w:top w:val="single" w:sz="4" w:space="0" w:color="000000"/>
              <w:left w:val="single" w:sz="4" w:space="0" w:color="000000"/>
              <w:bottom w:val="single" w:sz="4" w:space="0" w:color="000000"/>
              <w:right w:val="single" w:sz="4" w:space="0" w:color="000000"/>
            </w:tcBorders>
            <w:vAlign w:val="center"/>
          </w:tcPr>
          <w:p w14:paraId="05444FF6" w14:textId="77777777" w:rsidR="00963AB6" w:rsidRPr="0033055B" w:rsidRDefault="00963AB6" w:rsidP="003E6550">
            <w:pPr>
              <w:spacing w:line="276" w:lineRule="auto"/>
              <w:jc w:val="center"/>
              <w:rPr>
                <w:rFonts w:cstheme="minorHAnsi"/>
                <w:lang w:val="en-GB"/>
              </w:rPr>
            </w:pPr>
          </w:p>
        </w:tc>
        <w:tc>
          <w:tcPr>
            <w:tcW w:w="887" w:type="dxa"/>
            <w:tcBorders>
              <w:top w:val="single" w:sz="4" w:space="0" w:color="000000"/>
              <w:left w:val="single" w:sz="4" w:space="0" w:color="000000"/>
              <w:bottom w:val="single" w:sz="4" w:space="0" w:color="000000"/>
              <w:right w:val="single" w:sz="4" w:space="0" w:color="000000"/>
            </w:tcBorders>
            <w:vAlign w:val="center"/>
          </w:tcPr>
          <w:p w14:paraId="28BC524E" w14:textId="77777777" w:rsidR="00963AB6" w:rsidRPr="0033055B" w:rsidRDefault="00963AB6" w:rsidP="003E6550">
            <w:pPr>
              <w:spacing w:line="276" w:lineRule="auto"/>
              <w:jc w:val="center"/>
              <w:rPr>
                <w:rFonts w:cstheme="minorHAnsi"/>
                <w:lang w:val="en-GB"/>
              </w:rPr>
            </w:pPr>
          </w:p>
        </w:tc>
        <w:tc>
          <w:tcPr>
            <w:tcW w:w="888" w:type="dxa"/>
            <w:tcBorders>
              <w:top w:val="single" w:sz="4" w:space="0" w:color="000000"/>
              <w:left w:val="single" w:sz="4" w:space="0" w:color="000000"/>
              <w:bottom w:val="single" w:sz="4" w:space="0" w:color="000000"/>
              <w:right w:val="single" w:sz="4" w:space="0" w:color="000000"/>
            </w:tcBorders>
            <w:vAlign w:val="center"/>
          </w:tcPr>
          <w:p w14:paraId="5BAE4E2E" w14:textId="77777777" w:rsidR="00963AB6" w:rsidRPr="0033055B" w:rsidRDefault="00963AB6" w:rsidP="003E6550">
            <w:pPr>
              <w:spacing w:line="276" w:lineRule="auto"/>
              <w:jc w:val="center"/>
              <w:rPr>
                <w:rFonts w:cstheme="minorHAnsi"/>
                <w:lang w:val="en-GB"/>
              </w:rPr>
            </w:pPr>
          </w:p>
        </w:tc>
        <w:tc>
          <w:tcPr>
            <w:tcW w:w="888" w:type="dxa"/>
            <w:tcBorders>
              <w:top w:val="single" w:sz="4" w:space="0" w:color="000000"/>
              <w:left w:val="single" w:sz="4" w:space="0" w:color="000000"/>
              <w:bottom w:val="single" w:sz="4" w:space="0" w:color="000000"/>
              <w:right w:val="single" w:sz="4" w:space="0" w:color="000000"/>
            </w:tcBorders>
            <w:vAlign w:val="center"/>
          </w:tcPr>
          <w:p w14:paraId="48FA1E5E" w14:textId="77777777" w:rsidR="00963AB6" w:rsidRPr="0033055B" w:rsidRDefault="00963AB6" w:rsidP="003E6550">
            <w:pPr>
              <w:spacing w:line="276" w:lineRule="auto"/>
              <w:jc w:val="center"/>
              <w:rPr>
                <w:rFonts w:cstheme="minorHAnsi"/>
                <w:lang w:val="en-GB"/>
              </w:rPr>
            </w:pPr>
          </w:p>
        </w:tc>
        <w:tc>
          <w:tcPr>
            <w:tcW w:w="888" w:type="dxa"/>
            <w:tcBorders>
              <w:top w:val="single" w:sz="4" w:space="0" w:color="000000"/>
              <w:left w:val="single" w:sz="4" w:space="0" w:color="000000"/>
              <w:bottom w:val="single" w:sz="4" w:space="0" w:color="000000"/>
              <w:right w:val="single" w:sz="4" w:space="0" w:color="000000"/>
            </w:tcBorders>
            <w:vAlign w:val="center"/>
          </w:tcPr>
          <w:p w14:paraId="3E6BC5F4" w14:textId="77777777" w:rsidR="00963AB6" w:rsidRPr="0033055B" w:rsidRDefault="00963AB6" w:rsidP="003E6550">
            <w:pPr>
              <w:spacing w:line="276" w:lineRule="auto"/>
              <w:jc w:val="center"/>
              <w:rPr>
                <w:rFonts w:cstheme="minorHAnsi"/>
                <w:lang w:val="en-GB"/>
              </w:rPr>
            </w:pPr>
          </w:p>
        </w:tc>
        <w:tc>
          <w:tcPr>
            <w:tcW w:w="888" w:type="dxa"/>
            <w:tcBorders>
              <w:top w:val="single" w:sz="4" w:space="0" w:color="000000"/>
              <w:left w:val="single" w:sz="4" w:space="0" w:color="000000"/>
              <w:bottom w:val="single" w:sz="4" w:space="0" w:color="000000"/>
              <w:right w:val="single" w:sz="4" w:space="0" w:color="000000"/>
            </w:tcBorders>
            <w:vAlign w:val="center"/>
          </w:tcPr>
          <w:p w14:paraId="4795F842" w14:textId="77777777" w:rsidR="00963AB6" w:rsidRPr="0033055B" w:rsidRDefault="00963AB6" w:rsidP="003E6550">
            <w:pPr>
              <w:spacing w:line="276" w:lineRule="auto"/>
              <w:jc w:val="center"/>
              <w:rPr>
                <w:rFonts w:cstheme="minorHAnsi"/>
                <w:lang w:val="en-GB"/>
              </w:rPr>
            </w:pPr>
          </w:p>
        </w:tc>
        <w:tc>
          <w:tcPr>
            <w:tcW w:w="888" w:type="dxa"/>
            <w:tcBorders>
              <w:top w:val="single" w:sz="4" w:space="0" w:color="000000"/>
              <w:left w:val="single" w:sz="4" w:space="0" w:color="000000"/>
              <w:bottom w:val="single" w:sz="4" w:space="0" w:color="000000"/>
              <w:right w:val="single" w:sz="4" w:space="0" w:color="000000"/>
            </w:tcBorders>
            <w:vAlign w:val="center"/>
          </w:tcPr>
          <w:p w14:paraId="5F61D4EA" w14:textId="77777777" w:rsidR="00963AB6" w:rsidRPr="0033055B" w:rsidRDefault="00963AB6" w:rsidP="003E6550">
            <w:pPr>
              <w:spacing w:line="276" w:lineRule="auto"/>
              <w:jc w:val="center"/>
              <w:rPr>
                <w:rFonts w:cstheme="minorHAnsi"/>
                <w:lang w:val="en-GB"/>
              </w:rPr>
            </w:pPr>
          </w:p>
        </w:tc>
      </w:tr>
      <w:tr w:rsidR="00963AB6" w:rsidRPr="0033055B" w14:paraId="4B34078D" w14:textId="77777777" w:rsidTr="003E6550">
        <w:trPr>
          <w:trHeight w:val="497"/>
          <w:jc w:val="center"/>
        </w:trPr>
        <w:tc>
          <w:tcPr>
            <w:tcW w:w="3232" w:type="dxa"/>
            <w:tcBorders>
              <w:top w:val="single" w:sz="4" w:space="0" w:color="000000"/>
              <w:left w:val="single" w:sz="4" w:space="0" w:color="000000"/>
              <w:bottom w:val="nil"/>
              <w:right w:val="single" w:sz="4" w:space="0" w:color="000000"/>
            </w:tcBorders>
          </w:tcPr>
          <w:p w14:paraId="6522C448" w14:textId="77777777" w:rsidR="00963AB6" w:rsidRPr="00DA6459" w:rsidRDefault="00724C64" w:rsidP="00DA6459">
            <w:pPr>
              <w:jc w:val="center"/>
            </w:pPr>
            <w:r>
              <w:t>Energji e ripërtërishme nga pompat e ngrohjes:</w:t>
            </w:r>
          </w:p>
          <w:p w14:paraId="01D0EE41" w14:textId="77777777" w:rsidR="00963AB6" w:rsidRPr="00DA6459" w:rsidRDefault="00724C64" w:rsidP="00DA6459">
            <w:pPr>
              <w:rPr>
                <w:rFonts w:cstheme="minorHAnsi"/>
              </w:rPr>
            </w:pPr>
            <w:r>
              <w:t>- prej të cilave aero-termike</w:t>
            </w:r>
          </w:p>
        </w:tc>
        <w:tc>
          <w:tcPr>
            <w:tcW w:w="887" w:type="dxa"/>
            <w:tcBorders>
              <w:top w:val="single" w:sz="4" w:space="0" w:color="000000"/>
              <w:left w:val="single" w:sz="4" w:space="0" w:color="000000"/>
              <w:bottom w:val="nil"/>
              <w:right w:val="single" w:sz="4" w:space="0" w:color="000000"/>
            </w:tcBorders>
          </w:tcPr>
          <w:p w14:paraId="4750DCE6" w14:textId="77777777" w:rsidR="00963AB6" w:rsidRPr="00DA6459" w:rsidRDefault="00963AB6" w:rsidP="003E6550">
            <w:pPr>
              <w:spacing w:after="160" w:line="276" w:lineRule="auto"/>
              <w:jc w:val="center"/>
              <w:rPr>
                <w:rFonts w:cstheme="minorHAnsi"/>
                <w:lang w:val="en-GB"/>
              </w:rPr>
            </w:pPr>
          </w:p>
        </w:tc>
        <w:tc>
          <w:tcPr>
            <w:tcW w:w="888" w:type="dxa"/>
            <w:tcBorders>
              <w:top w:val="single" w:sz="4" w:space="0" w:color="000000"/>
              <w:left w:val="single" w:sz="4" w:space="0" w:color="000000"/>
              <w:bottom w:val="nil"/>
              <w:right w:val="single" w:sz="4" w:space="0" w:color="000000"/>
            </w:tcBorders>
          </w:tcPr>
          <w:p w14:paraId="0437409F" w14:textId="77777777" w:rsidR="00963AB6" w:rsidRPr="00DA6459" w:rsidRDefault="00963AB6" w:rsidP="003E6550">
            <w:pPr>
              <w:spacing w:after="160" w:line="276" w:lineRule="auto"/>
              <w:jc w:val="center"/>
              <w:rPr>
                <w:rFonts w:cstheme="minorHAnsi"/>
                <w:lang w:val="en-GB"/>
              </w:rPr>
            </w:pPr>
          </w:p>
        </w:tc>
        <w:tc>
          <w:tcPr>
            <w:tcW w:w="888" w:type="dxa"/>
            <w:tcBorders>
              <w:top w:val="single" w:sz="4" w:space="0" w:color="000000"/>
              <w:left w:val="single" w:sz="4" w:space="0" w:color="000000"/>
              <w:bottom w:val="nil"/>
              <w:right w:val="single" w:sz="4" w:space="0" w:color="000000"/>
            </w:tcBorders>
          </w:tcPr>
          <w:p w14:paraId="56B6CECE" w14:textId="77777777" w:rsidR="00963AB6" w:rsidRPr="00DA6459" w:rsidRDefault="00963AB6" w:rsidP="003E6550">
            <w:pPr>
              <w:spacing w:after="160" w:line="276" w:lineRule="auto"/>
              <w:jc w:val="center"/>
              <w:rPr>
                <w:rFonts w:cstheme="minorHAnsi"/>
                <w:lang w:val="en-GB"/>
              </w:rPr>
            </w:pPr>
          </w:p>
        </w:tc>
        <w:tc>
          <w:tcPr>
            <w:tcW w:w="888" w:type="dxa"/>
            <w:tcBorders>
              <w:top w:val="single" w:sz="4" w:space="0" w:color="000000"/>
              <w:left w:val="single" w:sz="4" w:space="0" w:color="000000"/>
              <w:bottom w:val="nil"/>
              <w:right w:val="single" w:sz="4" w:space="0" w:color="000000"/>
            </w:tcBorders>
          </w:tcPr>
          <w:p w14:paraId="3E2893C5" w14:textId="77777777" w:rsidR="00963AB6" w:rsidRPr="00DA6459" w:rsidRDefault="00963AB6" w:rsidP="003E6550">
            <w:pPr>
              <w:spacing w:after="160" w:line="276" w:lineRule="auto"/>
              <w:jc w:val="center"/>
              <w:rPr>
                <w:rFonts w:cstheme="minorHAnsi"/>
                <w:lang w:val="en-GB"/>
              </w:rPr>
            </w:pPr>
          </w:p>
        </w:tc>
        <w:tc>
          <w:tcPr>
            <w:tcW w:w="888" w:type="dxa"/>
            <w:tcBorders>
              <w:top w:val="single" w:sz="4" w:space="0" w:color="000000"/>
              <w:left w:val="single" w:sz="4" w:space="0" w:color="000000"/>
              <w:bottom w:val="nil"/>
              <w:right w:val="single" w:sz="4" w:space="0" w:color="000000"/>
            </w:tcBorders>
          </w:tcPr>
          <w:p w14:paraId="35B9CBBA" w14:textId="77777777" w:rsidR="00963AB6" w:rsidRPr="00DA6459" w:rsidRDefault="00963AB6" w:rsidP="003E6550">
            <w:pPr>
              <w:spacing w:after="160" w:line="276" w:lineRule="auto"/>
              <w:jc w:val="center"/>
              <w:rPr>
                <w:rFonts w:cstheme="minorHAnsi"/>
                <w:lang w:val="en-GB"/>
              </w:rPr>
            </w:pPr>
          </w:p>
        </w:tc>
        <w:tc>
          <w:tcPr>
            <w:tcW w:w="888" w:type="dxa"/>
            <w:tcBorders>
              <w:top w:val="single" w:sz="4" w:space="0" w:color="000000"/>
              <w:left w:val="single" w:sz="4" w:space="0" w:color="000000"/>
              <w:bottom w:val="nil"/>
              <w:right w:val="single" w:sz="4" w:space="0" w:color="000000"/>
            </w:tcBorders>
          </w:tcPr>
          <w:p w14:paraId="33C96C46" w14:textId="77777777" w:rsidR="00963AB6" w:rsidRPr="00DA6459" w:rsidRDefault="00963AB6" w:rsidP="003E6550">
            <w:pPr>
              <w:spacing w:after="160" w:line="276" w:lineRule="auto"/>
              <w:jc w:val="center"/>
              <w:rPr>
                <w:rFonts w:cstheme="minorHAnsi"/>
                <w:lang w:val="en-GB"/>
              </w:rPr>
            </w:pPr>
          </w:p>
        </w:tc>
        <w:tc>
          <w:tcPr>
            <w:tcW w:w="887" w:type="dxa"/>
            <w:tcBorders>
              <w:top w:val="single" w:sz="4" w:space="0" w:color="000000"/>
              <w:left w:val="single" w:sz="4" w:space="0" w:color="000000"/>
              <w:bottom w:val="nil"/>
              <w:right w:val="single" w:sz="4" w:space="0" w:color="000000"/>
            </w:tcBorders>
          </w:tcPr>
          <w:p w14:paraId="514B7AC4" w14:textId="77777777" w:rsidR="00963AB6" w:rsidRPr="00DA6459" w:rsidRDefault="00963AB6" w:rsidP="003E6550">
            <w:pPr>
              <w:spacing w:after="160" w:line="276" w:lineRule="auto"/>
              <w:jc w:val="center"/>
              <w:rPr>
                <w:rFonts w:cstheme="minorHAnsi"/>
                <w:lang w:val="en-GB"/>
              </w:rPr>
            </w:pPr>
          </w:p>
        </w:tc>
        <w:tc>
          <w:tcPr>
            <w:tcW w:w="888" w:type="dxa"/>
            <w:tcBorders>
              <w:top w:val="single" w:sz="4" w:space="0" w:color="000000"/>
              <w:left w:val="single" w:sz="4" w:space="0" w:color="000000"/>
              <w:bottom w:val="nil"/>
              <w:right w:val="single" w:sz="4" w:space="0" w:color="000000"/>
            </w:tcBorders>
          </w:tcPr>
          <w:p w14:paraId="57B19A07" w14:textId="77777777" w:rsidR="00963AB6" w:rsidRPr="00DA6459" w:rsidRDefault="00963AB6" w:rsidP="003E6550">
            <w:pPr>
              <w:spacing w:after="160" w:line="276" w:lineRule="auto"/>
              <w:jc w:val="center"/>
              <w:rPr>
                <w:rFonts w:cstheme="minorHAnsi"/>
                <w:lang w:val="en-GB"/>
              </w:rPr>
            </w:pPr>
          </w:p>
        </w:tc>
        <w:tc>
          <w:tcPr>
            <w:tcW w:w="888" w:type="dxa"/>
            <w:tcBorders>
              <w:top w:val="single" w:sz="4" w:space="0" w:color="000000"/>
              <w:left w:val="single" w:sz="4" w:space="0" w:color="000000"/>
              <w:bottom w:val="nil"/>
              <w:right w:val="single" w:sz="4" w:space="0" w:color="000000"/>
            </w:tcBorders>
          </w:tcPr>
          <w:p w14:paraId="536EDCCD" w14:textId="77777777" w:rsidR="00963AB6" w:rsidRPr="00DA6459" w:rsidRDefault="00963AB6" w:rsidP="003E6550">
            <w:pPr>
              <w:spacing w:after="160" w:line="276" w:lineRule="auto"/>
              <w:jc w:val="center"/>
              <w:rPr>
                <w:rFonts w:cstheme="minorHAnsi"/>
                <w:lang w:val="en-GB"/>
              </w:rPr>
            </w:pPr>
          </w:p>
        </w:tc>
        <w:tc>
          <w:tcPr>
            <w:tcW w:w="888" w:type="dxa"/>
            <w:tcBorders>
              <w:top w:val="single" w:sz="4" w:space="0" w:color="000000"/>
              <w:left w:val="single" w:sz="4" w:space="0" w:color="000000"/>
              <w:bottom w:val="nil"/>
              <w:right w:val="single" w:sz="4" w:space="0" w:color="000000"/>
            </w:tcBorders>
          </w:tcPr>
          <w:p w14:paraId="5F1991A4" w14:textId="77777777" w:rsidR="00963AB6" w:rsidRPr="00DA6459" w:rsidRDefault="00963AB6" w:rsidP="003E6550">
            <w:pPr>
              <w:spacing w:after="160" w:line="276" w:lineRule="auto"/>
              <w:jc w:val="center"/>
              <w:rPr>
                <w:rFonts w:cstheme="minorHAnsi"/>
                <w:lang w:val="en-GB"/>
              </w:rPr>
            </w:pPr>
          </w:p>
        </w:tc>
        <w:tc>
          <w:tcPr>
            <w:tcW w:w="888" w:type="dxa"/>
            <w:tcBorders>
              <w:top w:val="single" w:sz="4" w:space="0" w:color="000000"/>
              <w:left w:val="single" w:sz="4" w:space="0" w:color="000000"/>
              <w:bottom w:val="nil"/>
              <w:right w:val="single" w:sz="4" w:space="0" w:color="000000"/>
            </w:tcBorders>
          </w:tcPr>
          <w:p w14:paraId="72F5335E" w14:textId="77777777" w:rsidR="00963AB6" w:rsidRPr="00DA6459" w:rsidRDefault="00963AB6" w:rsidP="003E6550">
            <w:pPr>
              <w:spacing w:after="160" w:line="276" w:lineRule="auto"/>
              <w:jc w:val="center"/>
              <w:rPr>
                <w:rFonts w:cstheme="minorHAnsi"/>
                <w:lang w:val="en-GB"/>
              </w:rPr>
            </w:pPr>
          </w:p>
        </w:tc>
        <w:tc>
          <w:tcPr>
            <w:tcW w:w="888" w:type="dxa"/>
            <w:tcBorders>
              <w:top w:val="single" w:sz="4" w:space="0" w:color="000000"/>
              <w:left w:val="single" w:sz="4" w:space="0" w:color="000000"/>
              <w:bottom w:val="nil"/>
              <w:right w:val="single" w:sz="4" w:space="0" w:color="000000"/>
            </w:tcBorders>
          </w:tcPr>
          <w:p w14:paraId="43C0817A" w14:textId="77777777" w:rsidR="00963AB6" w:rsidRPr="00DA6459" w:rsidRDefault="00963AB6" w:rsidP="003E6550">
            <w:pPr>
              <w:spacing w:after="160" w:line="276" w:lineRule="auto"/>
              <w:jc w:val="center"/>
              <w:rPr>
                <w:rFonts w:cstheme="minorHAnsi"/>
                <w:lang w:val="en-GB"/>
              </w:rPr>
            </w:pPr>
          </w:p>
        </w:tc>
      </w:tr>
      <w:tr w:rsidR="00963AB6" w:rsidRPr="0033055B" w14:paraId="55BEF8F2" w14:textId="77777777" w:rsidTr="003E6550">
        <w:trPr>
          <w:trHeight w:val="660"/>
          <w:jc w:val="center"/>
        </w:trPr>
        <w:tc>
          <w:tcPr>
            <w:tcW w:w="3232" w:type="dxa"/>
            <w:tcBorders>
              <w:top w:val="nil"/>
              <w:left w:val="single" w:sz="4" w:space="0" w:color="000000"/>
              <w:bottom w:val="single" w:sz="4" w:space="0" w:color="000000"/>
              <w:right w:val="single" w:sz="4" w:space="0" w:color="000000"/>
            </w:tcBorders>
          </w:tcPr>
          <w:p w14:paraId="26128B15" w14:textId="77777777" w:rsidR="00963AB6" w:rsidRPr="00DA6459" w:rsidRDefault="00724C64" w:rsidP="00963AB6">
            <w:pPr>
              <w:numPr>
                <w:ilvl w:val="0"/>
                <w:numId w:val="19"/>
              </w:numPr>
              <w:spacing w:after="81" w:line="259" w:lineRule="auto"/>
              <w:ind w:left="270" w:hanging="98"/>
              <w:jc w:val="center"/>
              <w:rPr>
                <w:rFonts w:cstheme="minorHAnsi"/>
              </w:rPr>
            </w:pPr>
            <w:r>
              <w:t>prej të cilave gjeotermike</w:t>
            </w:r>
          </w:p>
          <w:p w14:paraId="306E7CD2" w14:textId="77777777" w:rsidR="00963AB6" w:rsidRPr="00DA6459" w:rsidRDefault="00724C64" w:rsidP="00963AB6">
            <w:pPr>
              <w:numPr>
                <w:ilvl w:val="0"/>
                <w:numId w:val="19"/>
              </w:numPr>
              <w:spacing w:after="160" w:line="276" w:lineRule="auto"/>
              <w:ind w:left="270" w:hanging="98"/>
              <w:jc w:val="center"/>
              <w:rPr>
                <w:rFonts w:cstheme="minorHAnsi"/>
              </w:rPr>
            </w:pPr>
            <w:r>
              <w:t xml:space="preserve">prej të cilave hidro-termike </w:t>
            </w:r>
          </w:p>
        </w:tc>
        <w:tc>
          <w:tcPr>
            <w:tcW w:w="887" w:type="dxa"/>
            <w:tcBorders>
              <w:top w:val="nil"/>
              <w:left w:val="single" w:sz="4" w:space="0" w:color="000000"/>
              <w:bottom w:val="single" w:sz="4" w:space="0" w:color="000000"/>
              <w:right w:val="single" w:sz="4" w:space="0" w:color="000000"/>
            </w:tcBorders>
          </w:tcPr>
          <w:p w14:paraId="19B7561D" w14:textId="77777777" w:rsidR="00963AB6" w:rsidRPr="00DA6459" w:rsidRDefault="00724C64" w:rsidP="003E6550">
            <w:pPr>
              <w:spacing w:after="160" w:line="276" w:lineRule="auto"/>
              <w:jc w:val="center"/>
              <w:rPr>
                <w:rFonts w:cstheme="minorHAnsi"/>
              </w:rPr>
            </w:pPr>
            <w:r>
              <w:t>0.0</w:t>
            </w:r>
          </w:p>
        </w:tc>
        <w:tc>
          <w:tcPr>
            <w:tcW w:w="888" w:type="dxa"/>
            <w:tcBorders>
              <w:top w:val="nil"/>
              <w:left w:val="single" w:sz="4" w:space="0" w:color="000000"/>
              <w:bottom w:val="single" w:sz="4" w:space="0" w:color="000000"/>
              <w:right w:val="single" w:sz="4" w:space="0" w:color="000000"/>
            </w:tcBorders>
          </w:tcPr>
          <w:p w14:paraId="296F5780" w14:textId="77777777" w:rsidR="00963AB6" w:rsidRPr="00DA6459" w:rsidRDefault="00724C64" w:rsidP="003E6550">
            <w:pPr>
              <w:spacing w:after="160" w:line="276" w:lineRule="auto"/>
              <w:jc w:val="center"/>
              <w:rPr>
                <w:rFonts w:cstheme="minorHAnsi"/>
              </w:rPr>
            </w:pPr>
            <w:r>
              <w:t>0.0</w:t>
            </w:r>
          </w:p>
        </w:tc>
        <w:tc>
          <w:tcPr>
            <w:tcW w:w="888" w:type="dxa"/>
            <w:tcBorders>
              <w:top w:val="nil"/>
              <w:left w:val="single" w:sz="4" w:space="0" w:color="000000"/>
              <w:bottom w:val="single" w:sz="4" w:space="0" w:color="000000"/>
              <w:right w:val="single" w:sz="4" w:space="0" w:color="000000"/>
            </w:tcBorders>
          </w:tcPr>
          <w:p w14:paraId="2F7C8F7C" w14:textId="77777777" w:rsidR="00963AB6" w:rsidRPr="00DA6459" w:rsidRDefault="00724C64" w:rsidP="003E6550">
            <w:pPr>
              <w:spacing w:after="160" w:line="276" w:lineRule="auto"/>
              <w:jc w:val="center"/>
              <w:rPr>
                <w:rFonts w:cstheme="minorHAnsi"/>
              </w:rPr>
            </w:pPr>
            <w:r>
              <w:t>0.0</w:t>
            </w:r>
          </w:p>
        </w:tc>
        <w:tc>
          <w:tcPr>
            <w:tcW w:w="888" w:type="dxa"/>
            <w:tcBorders>
              <w:top w:val="nil"/>
              <w:left w:val="single" w:sz="4" w:space="0" w:color="000000"/>
              <w:bottom w:val="single" w:sz="4" w:space="0" w:color="000000"/>
              <w:right w:val="single" w:sz="4" w:space="0" w:color="000000"/>
            </w:tcBorders>
          </w:tcPr>
          <w:p w14:paraId="5899548C" w14:textId="77777777" w:rsidR="00963AB6" w:rsidRPr="00DA6459" w:rsidRDefault="00724C64" w:rsidP="003E6550">
            <w:pPr>
              <w:spacing w:after="160" w:line="276" w:lineRule="auto"/>
              <w:jc w:val="center"/>
              <w:rPr>
                <w:rFonts w:cstheme="minorHAnsi"/>
              </w:rPr>
            </w:pPr>
            <w:r>
              <w:t>0.0</w:t>
            </w:r>
          </w:p>
        </w:tc>
        <w:tc>
          <w:tcPr>
            <w:tcW w:w="888" w:type="dxa"/>
            <w:tcBorders>
              <w:top w:val="nil"/>
              <w:left w:val="single" w:sz="4" w:space="0" w:color="000000"/>
              <w:bottom w:val="single" w:sz="4" w:space="0" w:color="000000"/>
              <w:right w:val="single" w:sz="4" w:space="0" w:color="000000"/>
            </w:tcBorders>
          </w:tcPr>
          <w:p w14:paraId="0D4D6A29" w14:textId="77777777" w:rsidR="00963AB6" w:rsidRPr="00DA6459" w:rsidRDefault="00724C64" w:rsidP="003E6550">
            <w:pPr>
              <w:spacing w:after="160" w:line="276" w:lineRule="auto"/>
              <w:jc w:val="center"/>
              <w:rPr>
                <w:rFonts w:cstheme="minorHAnsi"/>
              </w:rPr>
            </w:pPr>
            <w:r>
              <w:t>0.0</w:t>
            </w:r>
          </w:p>
        </w:tc>
        <w:tc>
          <w:tcPr>
            <w:tcW w:w="888" w:type="dxa"/>
            <w:tcBorders>
              <w:top w:val="nil"/>
              <w:left w:val="single" w:sz="4" w:space="0" w:color="000000"/>
              <w:bottom w:val="single" w:sz="4" w:space="0" w:color="000000"/>
              <w:right w:val="single" w:sz="4" w:space="0" w:color="000000"/>
            </w:tcBorders>
          </w:tcPr>
          <w:p w14:paraId="6DEE5E90" w14:textId="77777777" w:rsidR="00963AB6" w:rsidRPr="00DA6459" w:rsidRDefault="00724C64" w:rsidP="003E6550">
            <w:pPr>
              <w:spacing w:after="160" w:line="276" w:lineRule="auto"/>
              <w:jc w:val="center"/>
              <w:rPr>
                <w:rFonts w:cstheme="minorHAnsi"/>
              </w:rPr>
            </w:pPr>
            <w:r>
              <w:t>0.0</w:t>
            </w:r>
          </w:p>
        </w:tc>
        <w:tc>
          <w:tcPr>
            <w:tcW w:w="887" w:type="dxa"/>
            <w:tcBorders>
              <w:top w:val="nil"/>
              <w:left w:val="single" w:sz="4" w:space="0" w:color="000000"/>
              <w:bottom w:val="single" w:sz="4" w:space="0" w:color="000000"/>
              <w:right w:val="single" w:sz="4" w:space="0" w:color="000000"/>
            </w:tcBorders>
          </w:tcPr>
          <w:p w14:paraId="6CAEB8F0" w14:textId="77777777" w:rsidR="00963AB6" w:rsidRPr="00DA6459" w:rsidRDefault="00724C64" w:rsidP="003E6550">
            <w:pPr>
              <w:spacing w:after="160" w:line="276" w:lineRule="auto"/>
              <w:jc w:val="center"/>
              <w:rPr>
                <w:rFonts w:cstheme="minorHAnsi"/>
              </w:rPr>
            </w:pPr>
            <w:r>
              <w:t>0.0</w:t>
            </w:r>
          </w:p>
        </w:tc>
        <w:tc>
          <w:tcPr>
            <w:tcW w:w="888" w:type="dxa"/>
            <w:tcBorders>
              <w:top w:val="nil"/>
              <w:left w:val="single" w:sz="4" w:space="0" w:color="000000"/>
              <w:bottom w:val="single" w:sz="4" w:space="0" w:color="000000"/>
              <w:right w:val="single" w:sz="4" w:space="0" w:color="000000"/>
            </w:tcBorders>
          </w:tcPr>
          <w:p w14:paraId="05F9CE7F" w14:textId="77777777" w:rsidR="00963AB6" w:rsidRPr="00DA6459" w:rsidRDefault="00724C64" w:rsidP="003E6550">
            <w:pPr>
              <w:spacing w:after="160" w:line="276" w:lineRule="auto"/>
              <w:jc w:val="center"/>
              <w:rPr>
                <w:rFonts w:cstheme="minorHAnsi"/>
              </w:rPr>
            </w:pPr>
            <w:r>
              <w:t>0.0</w:t>
            </w:r>
          </w:p>
        </w:tc>
        <w:tc>
          <w:tcPr>
            <w:tcW w:w="888" w:type="dxa"/>
            <w:tcBorders>
              <w:top w:val="nil"/>
              <w:left w:val="single" w:sz="4" w:space="0" w:color="000000"/>
              <w:bottom w:val="single" w:sz="4" w:space="0" w:color="000000"/>
              <w:right w:val="single" w:sz="4" w:space="0" w:color="000000"/>
            </w:tcBorders>
          </w:tcPr>
          <w:p w14:paraId="5B7382A0" w14:textId="77777777" w:rsidR="00963AB6" w:rsidRPr="00DA6459" w:rsidRDefault="00724C64" w:rsidP="003E6550">
            <w:pPr>
              <w:spacing w:after="160" w:line="276" w:lineRule="auto"/>
              <w:jc w:val="center"/>
              <w:rPr>
                <w:rFonts w:cstheme="minorHAnsi"/>
              </w:rPr>
            </w:pPr>
            <w:r>
              <w:t>0.0</w:t>
            </w:r>
          </w:p>
        </w:tc>
        <w:tc>
          <w:tcPr>
            <w:tcW w:w="888" w:type="dxa"/>
            <w:tcBorders>
              <w:top w:val="nil"/>
              <w:left w:val="single" w:sz="4" w:space="0" w:color="000000"/>
              <w:bottom w:val="single" w:sz="4" w:space="0" w:color="000000"/>
              <w:right w:val="single" w:sz="4" w:space="0" w:color="000000"/>
            </w:tcBorders>
          </w:tcPr>
          <w:p w14:paraId="79671F92" w14:textId="77777777" w:rsidR="00963AB6" w:rsidRPr="00DA6459" w:rsidRDefault="00724C64" w:rsidP="003E6550">
            <w:pPr>
              <w:spacing w:after="160" w:line="276" w:lineRule="auto"/>
              <w:jc w:val="center"/>
              <w:rPr>
                <w:rFonts w:cstheme="minorHAnsi"/>
              </w:rPr>
            </w:pPr>
            <w:r>
              <w:t>0.2</w:t>
            </w:r>
          </w:p>
        </w:tc>
        <w:tc>
          <w:tcPr>
            <w:tcW w:w="888" w:type="dxa"/>
            <w:tcBorders>
              <w:top w:val="nil"/>
              <w:left w:val="single" w:sz="4" w:space="0" w:color="000000"/>
              <w:bottom w:val="single" w:sz="4" w:space="0" w:color="000000"/>
              <w:right w:val="single" w:sz="4" w:space="0" w:color="000000"/>
            </w:tcBorders>
          </w:tcPr>
          <w:p w14:paraId="04331004" w14:textId="77777777" w:rsidR="00963AB6" w:rsidRPr="00DA6459" w:rsidRDefault="00724C64" w:rsidP="003E6550">
            <w:pPr>
              <w:spacing w:after="160" w:line="276" w:lineRule="auto"/>
              <w:jc w:val="center"/>
              <w:rPr>
                <w:rFonts w:cstheme="minorHAnsi"/>
              </w:rPr>
            </w:pPr>
            <w:r>
              <w:t>0.4</w:t>
            </w:r>
          </w:p>
        </w:tc>
        <w:tc>
          <w:tcPr>
            <w:tcW w:w="888" w:type="dxa"/>
            <w:tcBorders>
              <w:top w:val="nil"/>
              <w:left w:val="single" w:sz="4" w:space="0" w:color="000000"/>
              <w:bottom w:val="single" w:sz="4" w:space="0" w:color="000000"/>
              <w:right w:val="single" w:sz="4" w:space="0" w:color="000000"/>
            </w:tcBorders>
          </w:tcPr>
          <w:p w14:paraId="35FA1330" w14:textId="77777777" w:rsidR="00963AB6" w:rsidRPr="00DA6459" w:rsidRDefault="00724C64" w:rsidP="003E6550">
            <w:pPr>
              <w:spacing w:after="160" w:line="276" w:lineRule="auto"/>
              <w:jc w:val="center"/>
              <w:rPr>
                <w:rFonts w:cstheme="minorHAnsi"/>
              </w:rPr>
            </w:pPr>
            <w:r>
              <w:t>0.9</w:t>
            </w:r>
          </w:p>
        </w:tc>
      </w:tr>
      <w:tr w:rsidR="00963AB6" w:rsidRPr="0033055B" w14:paraId="19BD8192" w14:textId="77777777" w:rsidTr="003E6550">
        <w:trPr>
          <w:trHeight w:val="464"/>
          <w:jc w:val="center"/>
        </w:trPr>
        <w:tc>
          <w:tcPr>
            <w:tcW w:w="3232" w:type="dxa"/>
            <w:tcBorders>
              <w:top w:val="single" w:sz="4" w:space="0" w:color="000000"/>
              <w:left w:val="single" w:sz="4" w:space="0" w:color="000000"/>
              <w:bottom w:val="single" w:sz="4" w:space="0" w:color="000000"/>
              <w:right w:val="single" w:sz="4" w:space="0" w:color="000000"/>
            </w:tcBorders>
            <w:vAlign w:val="center"/>
          </w:tcPr>
          <w:p w14:paraId="1A6133F5" w14:textId="77777777" w:rsidR="00963AB6" w:rsidRPr="00DA6459" w:rsidRDefault="00724C64" w:rsidP="003E6550">
            <w:pPr>
              <w:spacing w:after="160" w:line="276" w:lineRule="auto"/>
              <w:jc w:val="center"/>
              <w:rPr>
                <w:rFonts w:cstheme="minorHAnsi"/>
              </w:rPr>
            </w:pPr>
            <w:r>
              <w:rPr>
                <w:b/>
              </w:rPr>
              <w:t>Gjithsej</w:t>
            </w:r>
          </w:p>
        </w:tc>
        <w:tc>
          <w:tcPr>
            <w:tcW w:w="887" w:type="dxa"/>
            <w:tcBorders>
              <w:top w:val="single" w:sz="4" w:space="0" w:color="000000"/>
              <w:left w:val="single" w:sz="4" w:space="0" w:color="000000"/>
              <w:bottom w:val="single" w:sz="4" w:space="0" w:color="000000"/>
              <w:right w:val="single" w:sz="4" w:space="0" w:color="000000"/>
            </w:tcBorders>
            <w:vAlign w:val="center"/>
          </w:tcPr>
          <w:p w14:paraId="1E1301E4" w14:textId="77777777" w:rsidR="00963AB6" w:rsidRPr="00DA6459" w:rsidRDefault="00724C64" w:rsidP="003E6550">
            <w:pPr>
              <w:spacing w:after="160" w:line="276" w:lineRule="auto"/>
              <w:jc w:val="center"/>
              <w:rPr>
                <w:rFonts w:cstheme="minorHAnsi"/>
                <w:b/>
              </w:rPr>
            </w:pPr>
            <w:r>
              <w:rPr>
                <w:b/>
              </w:rPr>
              <w:t>224</w:t>
            </w:r>
          </w:p>
        </w:tc>
        <w:tc>
          <w:tcPr>
            <w:tcW w:w="888" w:type="dxa"/>
            <w:tcBorders>
              <w:top w:val="single" w:sz="4" w:space="0" w:color="000000"/>
              <w:left w:val="single" w:sz="4" w:space="0" w:color="000000"/>
              <w:bottom w:val="single" w:sz="4" w:space="0" w:color="000000"/>
              <w:right w:val="single" w:sz="4" w:space="0" w:color="000000"/>
            </w:tcBorders>
            <w:vAlign w:val="center"/>
          </w:tcPr>
          <w:p w14:paraId="5A3C5108" w14:textId="77777777" w:rsidR="00963AB6" w:rsidRPr="00DA6459" w:rsidRDefault="00724C64" w:rsidP="003E6550">
            <w:pPr>
              <w:spacing w:after="160" w:line="276" w:lineRule="auto"/>
              <w:jc w:val="center"/>
              <w:rPr>
                <w:rFonts w:cstheme="minorHAnsi"/>
                <w:b/>
              </w:rPr>
            </w:pPr>
            <w:r>
              <w:rPr>
                <w:b/>
              </w:rPr>
              <w:t>226</w:t>
            </w:r>
          </w:p>
        </w:tc>
        <w:tc>
          <w:tcPr>
            <w:tcW w:w="888" w:type="dxa"/>
            <w:tcBorders>
              <w:top w:val="single" w:sz="4" w:space="0" w:color="000000"/>
              <w:left w:val="single" w:sz="4" w:space="0" w:color="000000"/>
              <w:bottom w:val="single" w:sz="4" w:space="0" w:color="000000"/>
              <w:right w:val="single" w:sz="4" w:space="0" w:color="000000"/>
            </w:tcBorders>
            <w:vAlign w:val="center"/>
          </w:tcPr>
          <w:p w14:paraId="56FD8B81" w14:textId="77777777" w:rsidR="00963AB6" w:rsidRPr="00DA6459" w:rsidRDefault="00724C64" w:rsidP="003E6550">
            <w:pPr>
              <w:spacing w:after="160" w:line="276" w:lineRule="auto"/>
              <w:jc w:val="center"/>
              <w:rPr>
                <w:rFonts w:cstheme="minorHAnsi"/>
                <w:b/>
              </w:rPr>
            </w:pPr>
            <w:r>
              <w:rPr>
                <w:b/>
              </w:rPr>
              <w:t>231</w:t>
            </w:r>
          </w:p>
        </w:tc>
        <w:tc>
          <w:tcPr>
            <w:tcW w:w="888" w:type="dxa"/>
            <w:tcBorders>
              <w:top w:val="single" w:sz="4" w:space="0" w:color="000000"/>
              <w:left w:val="single" w:sz="4" w:space="0" w:color="000000"/>
              <w:bottom w:val="single" w:sz="4" w:space="0" w:color="000000"/>
              <w:right w:val="single" w:sz="4" w:space="0" w:color="000000"/>
            </w:tcBorders>
            <w:vAlign w:val="center"/>
          </w:tcPr>
          <w:p w14:paraId="57DDA768" w14:textId="77777777" w:rsidR="00963AB6" w:rsidRPr="00DA6459" w:rsidRDefault="00724C64" w:rsidP="003E6550">
            <w:pPr>
              <w:spacing w:after="160" w:line="276" w:lineRule="auto"/>
              <w:jc w:val="center"/>
              <w:rPr>
                <w:rFonts w:cstheme="minorHAnsi"/>
                <w:b/>
              </w:rPr>
            </w:pPr>
            <w:r>
              <w:rPr>
                <w:b/>
              </w:rPr>
              <w:t>236</w:t>
            </w:r>
          </w:p>
        </w:tc>
        <w:tc>
          <w:tcPr>
            <w:tcW w:w="888" w:type="dxa"/>
            <w:tcBorders>
              <w:top w:val="single" w:sz="4" w:space="0" w:color="000000"/>
              <w:left w:val="single" w:sz="4" w:space="0" w:color="000000"/>
              <w:bottom w:val="single" w:sz="4" w:space="0" w:color="000000"/>
              <w:right w:val="single" w:sz="4" w:space="0" w:color="000000"/>
            </w:tcBorders>
            <w:vAlign w:val="center"/>
          </w:tcPr>
          <w:p w14:paraId="6D6C2EEC" w14:textId="77777777" w:rsidR="00963AB6" w:rsidRPr="00DA6459" w:rsidRDefault="00724C64" w:rsidP="003E6550">
            <w:pPr>
              <w:spacing w:after="160" w:line="276" w:lineRule="auto"/>
              <w:jc w:val="center"/>
              <w:rPr>
                <w:rFonts w:cstheme="minorHAnsi"/>
                <w:b/>
              </w:rPr>
            </w:pPr>
            <w:r>
              <w:rPr>
                <w:b/>
              </w:rPr>
              <w:t>236</w:t>
            </w:r>
          </w:p>
        </w:tc>
        <w:tc>
          <w:tcPr>
            <w:tcW w:w="888" w:type="dxa"/>
            <w:tcBorders>
              <w:top w:val="single" w:sz="4" w:space="0" w:color="000000"/>
              <w:left w:val="single" w:sz="4" w:space="0" w:color="000000"/>
              <w:bottom w:val="single" w:sz="4" w:space="0" w:color="000000"/>
              <w:right w:val="single" w:sz="4" w:space="0" w:color="000000"/>
            </w:tcBorders>
            <w:vAlign w:val="center"/>
          </w:tcPr>
          <w:p w14:paraId="6A511462" w14:textId="77777777" w:rsidR="00963AB6" w:rsidRPr="00DA6459" w:rsidRDefault="00724C64" w:rsidP="003E6550">
            <w:pPr>
              <w:spacing w:after="160" w:line="276" w:lineRule="auto"/>
              <w:jc w:val="center"/>
              <w:rPr>
                <w:rFonts w:cstheme="minorHAnsi"/>
                <w:b/>
              </w:rPr>
            </w:pPr>
            <w:r>
              <w:rPr>
                <w:b/>
              </w:rPr>
              <w:t>240</w:t>
            </w:r>
          </w:p>
        </w:tc>
        <w:tc>
          <w:tcPr>
            <w:tcW w:w="887" w:type="dxa"/>
            <w:tcBorders>
              <w:top w:val="single" w:sz="4" w:space="0" w:color="000000"/>
              <w:left w:val="single" w:sz="4" w:space="0" w:color="000000"/>
              <w:bottom w:val="single" w:sz="4" w:space="0" w:color="000000"/>
              <w:right w:val="single" w:sz="4" w:space="0" w:color="000000"/>
            </w:tcBorders>
            <w:vAlign w:val="center"/>
          </w:tcPr>
          <w:p w14:paraId="4387EF29" w14:textId="77777777" w:rsidR="00963AB6" w:rsidRPr="00DA6459" w:rsidRDefault="00724C64" w:rsidP="003E6550">
            <w:pPr>
              <w:spacing w:after="160" w:line="276" w:lineRule="auto"/>
              <w:jc w:val="center"/>
              <w:rPr>
                <w:rFonts w:cstheme="minorHAnsi"/>
                <w:b/>
              </w:rPr>
            </w:pPr>
            <w:r>
              <w:rPr>
                <w:b/>
              </w:rPr>
              <w:t>251</w:t>
            </w:r>
          </w:p>
        </w:tc>
        <w:tc>
          <w:tcPr>
            <w:tcW w:w="888" w:type="dxa"/>
            <w:tcBorders>
              <w:top w:val="single" w:sz="4" w:space="0" w:color="000000"/>
              <w:left w:val="single" w:sz="4" w:space="0" w:color="000000"/>
              <w:bottom w:val="single" w:sz="4" w:space="0" w:color="000000"/>
              <w:right w:val="single" w:sz="4" w:space="0" w:color="000000"/>
            </w:tcBorders>
            <w:vAlign w:val="center"/>
          </w:tcPr>
          <w:p w14:paraId="50EEBF86" w14:textId="77777777" w:rsidR="00963AB6" w:rsidRPr="00DA6459" w:rsidRDefault="00724C64" w:rsidP="003E6550">
            <w:pPr>
              <w:spacing w:after="160" w:line="276" w:lineRule="auto"/>
              <w:jc w:val="center"/>
              <w:rPr>
                <w:rFonts w:cstheme="minorHAnsi"/>
                <w:b/>
              </w:rPr>
            </w:pPr>
            <w:r>
              <w:rPr>
                <w:b/>
              </w:rPr>
              <w:t>251</w:t>
            </w:r>
          </w:p>
        </w:tc>
        <w:tc>
          <w:tcPr>
            <w:tcW w:w="888" w:type="dxa"/>
            <w:tcBorders>
              <w:top w:val="single" w:sz="4" w:space="0" w:color="000000"/>
              <w:left w:val="single" w:sz="4" w:space="0" w:color="000000"/>
              <w:bottom w:val="single" w:sz="4" w:space="0" w:color="000000"/>
              <w:right w:val="single" w:sz="4" w:space="0" w:color="000000"/>
            </w:tcBorders>
            <w:vAlign w:val="center"/>
          </w:tcPr>
          <w:p w14:paraId="72366A64" w14:textId="77777777" w:rsidR="00963AB6" w:rsidRPr="00DA6459" w:rsidRDefault="00724C64" w:rsidP="003E6550">
            <w:pPr>
              <w:spacing w:after="160" w:line="276" w:lineRule="auto"/>
              <w:jc w:val="center"/>
              <w:rPr>
                <w:rFonts w:cstheme="minorHAnsi"/>
                <w:b/>
              </w:rPr>
            </w:pPr>
            <w:r>
              <w:rPr>
                <w:b/>
              </w:rPr>
              <w:t>251</w:t>
            </w:r>
          </w:p>
        </w:tc>
        <w:tc>
          <w:tcPr>
            <w:tcW w:w="888" w:type="dxa"/>
            <w:tcBorders>
              <w:top w:val="single" w:sz="4" w:space="0" w:color="000000"/>
              <w:left w:val="single" w:sz="4" w:space="0" w:color="000000"/>
              <w:bottom w:val="single" w:sz="4" w:space="0" w:color="000000"/>
              <w:right w:val="single" w:sz="4" w:space="0" w:color="000000"/>
            </w:tcBorders>
            <w:vAlign w:val="center"/>
          </w:tcPr>
          <w:p w14:paraId="2C9C820E" w14:textId="77777777" w:rsidR="00963AB6" w:rsidRPr="00DA6459" w:rsidRDefault="00724C64" w:rsidP="003E6550">
            <w:pPr>
              <w:spacing w:after="160" w:line="276" w:lineRule="auto"/>
              <w:jc w:val="center"/>
              <w:rPr>
                <w:rFonts w:cstheme="minorHAnsi"/>
                <w:b/>
              </w:rPr>
            </w:pPr>
            <w:r>
              <w:rPr>
                <w:b/>
              </w:rPr>
              <w:t>262</w:t>
            </w:r>
          </w:p>
        </w:tc>
        <w:tc>
          <w:tcPr>
            <w:tcW w:w="888" w:type="dxa"/>
            <w:tcBorders>
              <w:top w:val="single" w:sz="4" w:space="0" w:color="000000"/>
              <w:left w:val="single" w:sz="4" w:space="0" w:color="000000"/>
              <w:bottom w:val="single" w:sz="4" w:space="0" w:color="000000"/>
              <w:right w:val="single" w:sz="4" w:space="0" w:color="000000"/>
            </w:tcBorders>
            <w:vAlign w:val="center"/>
          </w:tcPr>
          <w:p w14:paraId="0B361327" w14:textId="77777777" w:rsidR="00963AB6" w:rsidRPr="00DA6459" w:rsidRDefault="00724C64" w:rsidP="003E6550">
            <w:pPr>
              <w:spacing w:after="160" w:line="276" w:lineRule="auto"/>
              <w:jc w:val="center"/>
              <w:rPr>
                <w:rFonts w:cstheme="minorHAnsi"/>
                <w:b/>
              </w:rPr>
            </w:pPr>
            <w:r>
              <w:rPr>
                <w:b/>
              </w:rPr>
              <w:t>271</w:t>
            </w:r>
          </w:p>
        </w:tc>
        <w:tc>
          <w:tcPr>
            <w:tcW w:w="888" w:type="dxa"/>
            <w:tcBorders>
              <w:top w:val="single" w:sz="4" w:space="0" w:color="000000"/>
              <w:left w:val="single" w:sz="4" w:space="0" w:color="000000"/>
              <w:bottom w:val="single" w:sz="4" w:space="0" w:color="000000"/>
              <w:right w:val="single" w:sz="4" w:space="0" w:color="000000"/>
            </w:tcBorders>
            <w:vAlign w:val="center"/>
          </w:tcPr>
          <w:p w14:paraId="34897E42" w14:textId="77777777" w:rsidR="00963AB6" w:rsidRPr="00DA6459" w:rsidRDefault="00724C64" w:rsidP="003E6550">
            <w:pPr>
              <w:spacing w:after="160" w:line="276" w:lineRule="auto"/>
              <w:jc w:val="center"/>
              <w:rPr>
                <w:rFonts w:cstheme="minorHAnsi"/>
                <w:b/>
              </w:rPr>
            </w:pPr>
            <w:r>
              <w:rPr>
                <w:b/>
              </w:rPr>
              <w:t>288</w:t>
            </w:r>
          </w:p>
        </w:tc>
      </w:tr>
      <w:tr w:rsidR="00963AB6" w:rsidRPr="0033055B" w14:paraId="085F5FD7" w14:textId="77777777" w:rsidTr="003E6550">
        <w:trPr>
          <w:trHeight w:val="463"/>
          <w:jc w:val="center"/>
        </w:trPr>
        <w:tc>
          <w:tcPr>
            <w:tcW w:w="3232" w:type="dxa"/>
            <w:tcBorders>
              <w:top w:val="single" w:sz="4" w:space="0" w:color="000000"/>
              <w:left w:val="single" w:sz="4" w:space="0" w:color="000000"/>
              <w:bottom w:val="single" w:sz="4" w:space="0" w:color="000000"/>
              <w:right w:val="single" w:sz="4" w:space="0" w:color="000000"/>
            </w:tcBorders>
            <w:vAlign w:val="center"/>
          </w:tcPr>
          <w:p w14:paraId="16207E7B" w14:textId="77777777" w:rsidR="00963AB6" w:rsidRPr="00DA6459" w:rsidRDefault="00724C64" w:rsidP="003E6550">
            <w:pPr>
              <w:spacing w:after="160" w:line="276" w:lineRule="auto"/>
              <w:ind w:right="55"/>
              <w:jc w:val="center"/>
              <w:rPr>
                <w:rFonts w:cstheme="minorHAnsi"/>
              </w:rPr>
            </w:pPr>
            <w:r>
              <w:t>Prej të cilave NQ</w:t>
            </w:r>
            <w:r w:rsidRPr="00DA6459">
              <w:rPr>
                <w:rStyle w:val="FootnoteReference"/>
                <w:rFonts w:cstheme="minorHAnsi"/>
                <w:lang w:val="en-GB"/>
              </w:rPr>
              <w:footnoteReference w:id="27"/>
            </w:r>
          </w:p>
        </w:tc>
        <w:tc>
          <w:tcPr>
            <w:tcW w:w="887" w:type="dxa"/>
            <w:tcBorders>
              <w:top w:val="single" w:sz="4" w:space="0" w:color="000000"/>
              <w:left w:val="single" w:sz="4" w:space="0" w:color="000000"/>
              <w:bottom w:val="single" w:sz="4" w:space="0" w:color="000000"/>
              <w:right w:val="single" w:sz="4" w:space="0" w:color="000000"/>
            </w:tcBorders>
            <w:vAlign w:val="center"/>
          </w:tcPr>
          <w:p w14:paraId="77A0F040" w14:textId="77777777" w:rsidR="00963AB6" w:rsidRPr="00DA6459" w:rsidRDefault="00963AB6" w:rsidP="003E6550">
            <w:pPr>
              <w:spacing w:after="160" w:line="276" w:lineRule="auto"/>
              <w:jc w:val="center"/>
              <w:rPr>
                <w:rFonts w:cstheme="minorHAnsi"/>
                <w:lang w:val="en-GB"/>
              </w:rPr>
            </w:pPr>
          </w:p>
        </w:tc>
        <w:tc>
          <w:tcPr>
            <w:tcW w:w="888" w:type="dxa"/>
            <w:tcBorders>
              <w:top w:val="single" w:sz="4" w:space="0" w:color="000000"/>
              <w:left w:val="single" w:sz="4" w:space="0" w:color="000000"/>
              <w:bottom w:val="single" w:sz="4" w:space="0" w:color="000000"/>
              <w:right w:val="single" w:sz="4" w:space="0" w:color="000000"/>
            </w:tcBorders>
            <w:vAlign w:val="center"/>
          </w:tcPr>
          <w:p w14:paraId="742DB099" w14:textId="77777777" w:rsidR="00963AB6" w:rsidRPr="00DA6459" w:rsidRDefault="00963AB6" w:rsidP="003E6550">
            <w:pPr>
              <w:spacing w:after="160" w:line="276" w:lineRule="auto"/>
              <w:jc w:val="center"/>
              <w:rPr>
                <w:rFonts w:cstheme="minorHAnsi"/>
                <w:lang w:val="en-GB"/>
              </w:rPr>
            </w:pPr>
          </w:p>
        </w:tc>
        <w:tc>
          <w:tcPr>
            <w:tcW w:w="888" w:type="dxa"/>
            <w:tcBorders>
              <w:top w:val="single" w:sz="4" w:space="0" w:color="000000"/>
              <w:left w:val="single" w:sz="4" w:space="0" w:color="000000"/>
              <w:bottom w:val="single" w:sz="4" w:space="0" w:color="000000"/>
              <w:right w:val="single" w:sz="4" w:space="0" w:color="000000"/>
            </w:tcBorders>
            <w:vAlign w:val="center"/>
          </w:tcPr>
          <w:p w14:paraId="17DCC669" w14:textId="77777777" w:rsidR="00963AB6" w:rsidRPr="00DA6459" w:rsidRDefault="00963AB6" w:rsidP="003E6550">
            <w:pPr>
              <w:spacing w:after="160" w:line="276" w:lineRule="auto"/>
              <w:jc w:val="center"/>
              <w:rPr>
                <w:rFonts w:cstheme="minorHAnsi"/>
                <w:lang w:val="en-GB"/>
              </w:rPr>
            </w:pPr>
          </w:p>
        </w:tc>
        <w:tc>
          <w:tcPr>
            <w:tcW w:w="888" w:type="dxa"/>
            <w:tcBorders>
              <w:top w:val="single" w:sz="4" w:space="0" w:color="000000"/>
              <w:left w:val="single" w:sz="4" w:space="0" w:color="000000"/>
              <w:bottom w:val="single" w:sz="4" w:space="0" w:color="000000"/>
              <w:right w:val="single" w:sz="4" w:space="0" w:color="000000"/>
            </w:tcBorders>
            <w:vAlign w:val="center"/>
          </w:tcPr>
          <w:p w14:paraId="0BB4621F" w14:textId="77777777" w:rsidR="00963AB6" w:rsidRPr="00DA6459" w:rsidRDefault="00963AB6" w:rsidP="003E6550">
            <w:pPr>
              <w:spacing w:after="160" w:line="276" w:lineRule="auto"/>
              <w:jc w:val="center"/>
              <w:rPr>
                <w:rFonts w:cstheme="minorHAnsi"/>
                <w:lang w:val="en-GB"/>
              </w:rPr>
            </w:pPr>
          </w:p>
        </w:tc>
        <w:tc>
          <w:tcPr>
            <w:tcW w:w="888" w:type="dxa"/>
            <w:tcBorders>
              <w:top w:val="single" w:sz="4" w:space="0" w:color="000000"/>
              <w:left w:val="single" w:sz="4" w:space="0" w:color="000000"/>
              <w:bottom w:val="single" w:sz="4" w:space="0" w:color="000000"/>
              <w:right w:val="single" w:sz="4" w:space="0" w:color="000000"/>
            </w:tcBorders>
            <w:vAlign w:val="center"/>
          </w:tcPr>
          <w:p w14:paraId="2224E6AD" w14:textId="77777777" w:rsidR="00963AB6" w:rsidRPr="00DA6459" w:rsidRDefault="00963AB6" w:rsidP="003E6550">
            <w:pPr>
              <w:spacing w:after="160" w:line="276" w:lineRule="auto"/>
              <w:ind w:right="1"/>
              <w:jc w:val="center"/>
              <w:rPr>
                <w:rFonts w:cstheme="minorHAnsi"/>
                <w:lang w:val="en-GB"/>
              </w:rPr>
            </w:pPr>
          </w:p>
        </w:tc>
        <w:tc>
          <w:tcPr>
            <w:tcW w:w="888" w:type="dxa"/>
            <w:tcBorders>
              <w:top w:val="single" w:sz="4" w:space="0" w:color="000000"/>
              <w:left w:val="single" w:sz="4" w:space="0" w:color="000000"/>
              <w:bottom w:val="single" w:sz="4" w:space="0" w:color="000000"/>
              <w:right w:val="single" w:sz="4" w:space="0" w:color="000000"/>
            </w:tcBorders>
            <w:vAlign w:val="center"/>
          </w:tcPr>
          <w:p w14:paraId="7CB24326" w14:textId="77777777" w:rsidR="00963AB6" w:rsidRPr="00DA6459" w:rsidRDefault="00963AB6" w:rsidP="003E6550">
            <w:pPr>
              <w:spacing w:after="160" w:line="276" w:lineRule="auto"/>
              <w:ind w:right="1"/>
              <w:jc w:val="center"/>
              <w:rPr>
                <w:rFonts w:cstheme="minorHAnsi"/>
                <w:lang w:val="en-GB"/>
              </w:rPr>
            </w:pPr>
          </w:p>
        </w:tc>
        <w:tc>
          <w:tcPr>
            <w:tcW w:w="887" w:type="dxa"/>
            <w:tcBorders>
              <w:top w:val="single" w:sz="4" w:space="0" w:color="000000"/>
              <w:left w:val="single" w:sz="4" w:space="0" w:color="000000"/>
              <w:bottom w:val="single" w:sz="4" w:space="0" w:color="000000"/>
              <w:right w:val="single" w:sz="4" w:space="0" w:color="000000"/>
            </w:tcBorders>
            <w:vAlign w:val="center"/>
          </w:tcPr>
          <w:p w14:paraId="5DC713DF" w14:textId="77777777" w:rsidR="00963AB6" w:rsidRPr="00DA6459" w:rsidRDefault="00963AB6" w:rsidP="003E6550">
            <w:pPr>
              <w:spacing w:after="160" w:line="276" w:lineRule="auto"/>
              <w:ind w:right="1"/>
              <w:jc w:val="center"/>
              <w:rPr>
                <w:rFonts w:cstheme="minorHAnsi"/>
                <w:lang w:val="en-GB"/>
              </w:rPr>
            </w:pPr>
          </w:p>
        </w:tc>
        <w:tc>
          <w:tcPr>
            <w:tcW w:w="888" w:type="dxa"/>
            <w:tcBorders>
              <w:top w:val="single" w:sz="4" w:space="0" w:color="000000"/>
              <w:left w:val="single" w:sz="4" w:space="0" w:color="000000"/>
              <w:bottom w:val="single" w:sz="4" w:space="0" w:color="000000"/>
              <w:right w:val="single" w:sz="4" w:space="0" w:color="000000"/>
            </w:tcBorders>
            <w:vAlign w:val="center"/>
          </w:tcPr>
          <w:p w14:paraId="395230A6" w14:textId="77777777" w:rsidR="00963AB6" w:rsidRPr="00DA6459" w:rsidRDefault="00963AB6" w:rsidP="003E6550">
            <w:pPr>
              <w:spacing w:after="160" w:line="276" w:lineRule="auto"/>
              <w:ind w:right="1"/>
              <w:jc w:val="center"/>
              <w:rPr>
                <w:rFonts w:cstheme="minorHAnsi"/>
                <w:lang w:val="en-GB"/>
              </w:rPr>
            </w:pPr>
          </w:p>
        </w:tc>
        <w:tc>
          <w:tcPr>
            <w:tcW w:w="888" w:type="dxa"/>
            <w:tcBorders>
              <w:top w:val="single" w:sz="4" w:space="0" w:color="000000"/>
              <w:left w:val="single" w:sz="4" w:space="0" w:color="000000"/>
              <w:bottom w:val="single" w:sz="4" w:space="0" w:color="000000"/>
              <w:right w:val="single" w:sz="4" w:space="0" w:color="000000"/>
            </w:tcBorders>
            <w:vAlign w:val="center"/>
          </w:tcPr>
          <w:p w14:paraId="21211398" w14:textId="77777777" w:rsidR="00963AB6" w:rsidRPr="00DA6459" w:rsidRDefault="00963AB6" w:rsidP="003E6550">
            <w:pPr>
              <w:spacing w:after="160" w:line="276" w:lineRule="auto"/>
              <w:ind w:right="1"/>
              <w:jc w:val="center"/>
              <w:rPr>
                <w:rFonts w:cstheme="minorHAnsi"/>
                <w:lang w:val="en-GB"/>
              </w:rPr>
            </w:pPr>
          </w:p>
        </w:tc>
        <w:tc>
          <w:tcPr>
            <w:tcW w:w="888" w:type="dxa"/>
            <w:tcBorders>
              <w:top w:val="single" w:sz="4" w:space="0" w:color="000000"/>
              <w:left w:val="single" w:sz="4" w:space="0" w:color="000000"/>
              <w:bottom w:val="single" w:sz="4" w:space="0" w:color="000000"/>
              <w:right w:val="single" w:sz="4" w:space="0" w:color="000000"/>
            </w:tcBorders>
            <w:vAlign w:val="center"/>
          </w:tcPr>
          <w:p w14:paraId="0CF9660B" w14:textId="77777777" w:rsidR="00963AB6" w:rsidRPr="00DA6459" w:rsidRDefault="00963AB6" w:rsidP="003E6550">
            <w:pPr>
              <w:spacing w:after="160" w:line="276" w:lineRule="auto"/>
              <w:ind w:right="1"/>
              <w:jc w:val="center"/>
              <w:rPr>
                <w:rFonts w:cstheme="minorHAnsi"/>
                <w:lang w:val="en-GB"/>
              </w:rPr>
            </w:pPr>
          </w:p>
        </w:tc>
        <w:tc>
          <w:tcPr>
            <w:tcW w:w="888" w:type="dxa"/>
            <w:tcBorders>
              <w:top w:val="single" w:sz="4" w:space="0" w:color="000000"/>
              <w:left w:val="single" w:sz="4" w:space="0" w:color="000000"/>
              <w:bottom w:val="single" w:sz="4" w:space="0" w:color="000000"/>
              <w:right w:val="single" w:sz="4" w:space="0" w:color="000000"/>
            </w:tcBorders>
            <w:vAlign w:val="center"/>
          </w:tcPr>
          <w:p w14:paraId="56CC73D5" w14:textId="77777777" w:rsidR="00963AB6" w:rsidRPr="00DA6459" w:rsidRDefault="00963AB6" w:rsidP="003E6550">
            <w:pPr>
              <w:spacing w:after="160" w:line="276" w:lineRule="auto"/>
              <w:ind w:right="1"/>
              <w:jc w:val="center"/>
              <w:rPr>
                <w:rFonts w:cstheme="minorHAnsi"/>
                <w:lang w:val="en-GB"/>
              </w:rPr>
            </w:pPr>
          </w:p>
        </w:tc>
        <w:tc>
          <w:tcPr>
            <w:tcW w:w="888" w:type="dxa"/>
            <w:tcBorders>
              <w:top w:val="single" w:sz="4" w:space="0" w:color="000000"/>
              <w:left w:val="single" w:sz="4" w:space="0" w:color="000000"/>
              <w:bottom w:val="single" w:sz="4" w:space="0" w:color="000000"/>
              <w:right w:val="single" w:sz="4" w:space="0" w:color="000000"/>
            </w:tcBorders>
            <w:vAlign w:val="center"/>
          </w:tcPr>
          <w:p w14:paraId="7C84A949" w14:textId="77777777" w:rsidR="00963AB6" w:rsidRPr="00DA6459" w:rsidRDefault="00963AB6" w:rsidP="003E6550">
            <w:pPr>
              <w:spacing w:after="160" w:line="276" w:lineRule="auto"/>
              <w:ind w:right="1"/>
              <w:jc w:val="center"/>
              <w:rPr>
                <w:rFonts w:cstheme="minorHAnsi"/>
                <w:lang w:val="en-GB"/>
              </w:rPr>
            </w:pPr>
          </w:p>
        </w:tc>
      </w:tr>
      <w:tr w:rsidR="00963AB6" w:rsidRPr="0033055B" w14:paraId="1D8BC96D" w14:textId="77777777" w:rsidTr="003E6550">
        <w:trPr>
          <w:trHeight w:val="464"/>
          <w:jc w:val="center"/>
        </w:trPr>
        <w:tc>
          <w:tcPr>
            <w:tcW w:w="3232" w:type="dxa"/>
            <w:tcBorders>
              <w:top w:val="single" w:sz="4" w:space="0" w:color="000000"/>
              <w:left w:val="single" w:sz="4" w:space="0" w:color="000000"/>
              <w:bottom w:val="single" w:sz="4" w:space="0" w:color="000000"/>
              <w:right w:val="single" w:sz="4" w:space="0" w:color="000000"/>
            </w:tcBorders>
            <w:vAlign w:val="center"/>
          </w:tcPr>
          <w:p w14:paraId="4DEC7A92" w14:textId="77777777" w:rsidR="00963AB6" w:rsidRPr="00DA6459" w:rsidRDefault="00724C64" w:rsidP="003E6550">
            <w:pPr>
              <w:spacing w:after="160" w:line="276" w:lineRule="auto"/>
              <w:ind w:right="56"/>
              <w:jc w:val="center"/>
              <w:rPr>
                <w:rFonts w:cstheme="minorHAnsi"/>
              </w:rPr>
            </w:pPr>
            <w:r>
              <w:t>Nga të cilat biomasë në ekonomi familjare</w:t>
            </w:r>
            <w:r w:rsidRPr="00DA6459">
              <w:rPr>
                <w:rStyle w:val="FootnoteReference"/>
                <w:rFonts w:cstheme="minorHAnsi"/>
                <w:lang w:val="en-GB"/>
              </w:rPr>
              <w:footnoteReference w:id="28"/>
            </w:r>
          </w:p>
        </w:tc>
        <w:tc>
          <w:tcPr>
            <w:tcW w:w="887" w:type="dxa"/>
            <w:tcBorders>
              <w:top w:val="single" w:sz="4" w:space="0" w:color="000000"/>
              <w:left w:val="single" w:sz="4" w:space="0" w:color="000000"/>
              <w:bottom w:val="single" w:sz="4" w:space="0" w:color="000000"/>
              <w:right w:val="single" w:sz="4" w:space="0" w:color="000000"/>
            </w:tcBorders>
            <w:vAlign w:val="center"/>
          </w:tcPr>
          <w:p w14:paraId="0427071D" w14:textId="77777777" w:rsidR="00963AB6" w:rsidRPr="00DA6459" w:rsidRDefault="00724C64" w:rsidP="003E6550">
            <w:pPr>
              <w:spacing w:after="160" w:line="276" w:lineRule="auto"/>
              <w:jc w:val="center"/>
              <w:rPr>
                <w:rFonts w:cstheme="minorHAnsi"/>
              </w:rPr>
            </w:pPr>
            <w:r>
              <w:t>217</w:t>
            </w:r>
          </w:p>
        </w:tc>
        <w:tc>
          <w:tcPr>
            <w:tcW w:w="888" w:type="dxa"/>
            <w:tcBorders>
              <w:top w:val="single" w:sz="4" w:space="0" w:color="000000"/>
              <w:left w:val="single" w:sz="4" w:space="0" w:color="000000"/>
              <w:bottom w:val="single" w:sz="4" w:space="0" w:color="000000"/>
              <w:right w:val="single" w:sz="4" w:space="0" w:color="000000"/>
            </w:tcBorders>
            <w:vAlign w:val="center"/>
          </w:tcPr>
          <w:p w14:paraId="68488F5E" w14:textId="77777777" w:rsidR="00963AB6" w:rsidRPr="00DA6459" w:rsidRDefault="00724C64" w:rsidP="003E6550">
            <w:pPr>
              <w:spacing w:after="160" w:line="276" w:lineRule="auto"/>
              <w:jc w:val="center"/>
              <w:rPr>
                <w:rFonts w:cstheme="minorHAnsi"/>
              </w:rPr>
            </w:pPr>
            <w:r>
              <w:t>218</w:t>
            </w:r>
          </w:p>
        </w:tc>
        <w:tc>
          <w:tcPr>
            <w:tcW w:w="888" w:type="dxa"/>
            <w:tcBorders>
              <w:top w:val="single" w:sz="4" w:space="0" w:color="000000"/>
              <w:left w:val="single" w:sz="4" w:space="0" w:color="000000"/>
              <w:bottom w:val="single" w:sz="4" w:space="0" w:color="000000"/>
              <w:right w:val="single" w:sz="4" w:space="0" w:color="000000"/>
            </w:tcBorders>
            <w:vAlign w:val="center"/>
          </w:tcPr>
          <w:p w14:paraId="42B0ECF4" w14:textId="77777777" w:rsidR="00963AB6" w:rsidRPr="00DA6459" w:rsidRDefault="00724C64" w:rsidP="003E6550">
            <w:pPr>
              <w:spacing w:after="160" w:line="276" w:lineRule="auto"/>
              <w:jc w:val="center"/>
              <w:rPr>
                <w:rFonts w:cstheme="minorHAnsi"/>
              </w:rPr>
            </w:pPr>
            <w:r>
              <w:t>222</w:t>
            </w:r>
          </w:p>
        </w:tc>
        <w:tc>
          <w:tcPr>
            <w:tcW w:w="888" w:type="dxa"/>
            <w:tcBorders>
              <w:top w:val="single" w:sz="4" w:space="0" w:color="000000"/>
              <w:left w:val="single" w:sz="4" w:space="0" w:color="000000"/>
              <w:bottom w:val="single" w:sz="4" w:space="0" w:color="000000"/>
              <w:right w:val="single" w:sz="4" w:space="0" w:color="000000"/>
            </w:tcBorders>
            <w:vAlign w:val="center"/>
          </w:tcPr>
          <w:p w14:paraId="187F2462" w14:textId="77777777" w:rsidR="00963AB6" w:rsidRPr="00DA6459" w:rsidRDefault="00724C64" w:rsidP="003E6550">
            <w:pPr>
              <w:spacing w:after="160" w:line="276" w:lineRule="auto"/>
              <w:jc w:val="center"/>
              <w:rPr>
                <w:rFonts w:cstheme="minorHAnsi"/>
              </w:rPr>
            </w:pPr>
            <w:r>
              <w:t>227</w:t>
            </w:r>
          </w:p>
        </w:tc>
        <w:tc>
          <w:tcPr>
            <w:tcW w:w="888" w:type="dxa"/>
            <w:tcBorders>
              <w:top w:val="single" w:sz="4" w:space="0" w:color="000000"/>
              <w:left w:val="single" w:sz="4" w:space="0" w:color="000000"/>
              <w:bottom w:val="single" w:sz="4" w:space="0" w:color="000000"/>
              <w:right w:val="single" w:sz="4" w:space="0" w:color="000000"/>
            </w:tcBorders>
            <w:vAlign w:val="center"/>
          </w:tcPr>
          <w:p w14:paraId="60A391FA" w14:textId="77777777" w:rsidR="00963AB6" w:rsidRPr="00DA6459" w:rsidRDefault="00724C64" w:rsidP="003E6550">
            <w:pPr>
              <w:spacing w:after="160" w:line="276" w:lineRule="auto"/>
              <w:jc w:val="center"/>
              <w:rPr>
                <w:rFonts w:cstheme="minorHAnsi"/>
              </w:rPr>
            </w:pPr>
            <w:r>
              <w:t>229</w:t>
            </w:r>
          </w:p>
        </w:tc>
        <w:tc>
          <w:tcPr>
            <w:tcW w:w="888" w:type="dxa"/>
            <w:tcBorders>
              <w:top w:val="single" w:sz="4" w:space="0" w:color="000000"/>
              <w:left w:val="single" w:sz="4" w:space="0" w:color="000000"/>
              <w:bottom w:val="single" w:sz="4" w:space="0" w:color="000000"/>
              <w:right w:val="single" w:sz="4" w:space="0" w:color="000000"/>
            </w:tcBorders>
            <w:vAlign w:val="center"/>
          </w:tcPr>
          <w:p w14:paraId="7E23FD82" w14:textId="77777777" w:rsidR="00963AB6" w:rsidRPr="00DA6459" w:rsidRDefault="00724C64" w:rsidP="003E6550">
            <w:pPr>
              <w:spacing w:after="160" w:line="276" w:lineRule="auto"/>
              <w:jc w:val="center"/>
              <w:rPr>
                <w:rFonts w:cstheme="minorHAnsi"/>
              </w:rPr>
            </w:pPr>
            <w:r>
              <w:t>231</w:t>
            </w:r>
          </w:p>
        </w:tc>
        <w:tc>
          <w:tcPr>
            <w:tcW w:w="887" w:type="dxa"/>
            <w:tcBorders>
              <w:top w:val="single" w:sz="4" w:space="0" w:color="000000"/>
              <w:left w:val="single" w:sz="4" w:space="0" w:color="000000"/>
              <w:bottom w:val="single" w:sz="4" w:space="0" w:color="000000"/>
              <w:right w:val="single" w:sz="4" w:space="0" w:color="000000"/>
            </w:tcBorders>
            <w:vAlign w:val="center"/>
          </w:tcPr>
          <w:p w14:paraId="45C14E53" w14:textId="77777777" w:rsidR="00963AB6" w:rsidRPr="00DA6459" w:rsidRDefault="00724C64" w:rsidP="003E6550">
            <w:pPr>
              <w:spacing w:after="160" w:line="276" w:lineRule="auto"/>
              <w:jc w:val="center"/>
              <w:rPr>
                <w:rFonts w:cstheme="minorHAnsi"/>
              </w:rPr>
            </w:pPr>
            <w:r>
              <w:t>242</w:t>
            </w:r>
          </w:p>
        </w:tc>
        <w:tc>
          <w:tcPr>
            <w:tcW w:w="888" w:type="dxa"/>
            <w:tcBorders>
              <w:top w:val="single" w:sz="4" w:space="0" w:color="000000"/>
              <w:left w:val="single" w:sz="4" w:space="0" w:color="000000"/>
              <w:bottom w:val="single" w:sz="4" w:space="0" w:color="000000"/>
              <w:right w:val="single" w:sz="4" w:space="0" w:color="000000"/>
            </w:tcBorders>
            <w:vAlign w:val="center"/>
          </w:tcPr>
          <w:p w14:paraId="23E6A7C9" w14:textId="77777777" w:rsidR="00963AB6" w:rsidRPr="00DA6459" w:rsidRDefault="00724C64" w:rsidP="003E6550">
            <w:pPr>
              <w:spacing w:after="160" w:line="276" w:lineRule="auto"/>
              <w:jc w:val="center"/>
              <w:rPr>
                <w:rFonts w:cstheme="minorHAnsi"/>
              </w:rPr>
            </w:pPr>
            <w:r>
              <w:t>241</w:t>
            </w:r>
          </w:p>
        </w:tc>
        <w:tc>
          <w:tcPr>
            <w:tcW w:w="888" w:type="dxa"/>
            <w:tcBorders>
              <w:top w:val="single" w:sz="4" w:space="0" w:color="000000"/>
              <w:left w:val="single" w:sz="4" w:space="0" w:color="000000"/>
              <w:bottom w:val="single" w:sz="4" w:space="0" w:color="000000"/>
              <w:right w:val="single" w:sz="4" w:space="0" w:color="000000"/>
            </w:tcBorders>
            <w:vAlign w:val="center"/>
          </w:tcPr>
          <w:p w14:paraId="62BF977E" w14:textId="77777777" w:rsidR="00963AB6" w:rsidRPr="00DA6459" w:rsidRDefault="00724C64" w:rsidP="003E6550">
            <w:pPr>
              <w:spacing w:after="160" w:line="276" w:lineRule="auto"/>
              <w:jc w:val="center"/>
              <w:rPr>
                <w:rFonts w:cstheme="minorHAnsi"/>
              </w:rPr>
            </w:pPr>
            <w:r>
              <w:t>241</w:t>
            </w:r>
          </w:p>
        </w:tc>
        <w:tc>
          <w:tcPr>
            <w:tcW w:w="888" w:type="dxa"/>
            <w:tcBorders>
              <w:top w:val="single" w:sz="4" w:space="0" w:color="000000"/>
              <w:left w:val="single" w:sz="4" w:space="0" w:color="000000"/>
              <w:bottom w:val="single" w:sz="4" w:space="0" w:color="000000"/>
              <w:right w:val="single" w:sz="4" w:space="0" w:color="000000"/>
            </w:tcBorders>
            <w:vAlign w:val="center"/>
          </w:tcPr>
          <w:p w14:paraId="6B23B5EE" w14:textId="77777777" w:rsidR="00963AB6" w:rsidRPr="00DA6459" w:rsidRDefault="00724C64" w:rsidP="003E6550">
            <w:pPr>
              <w:spacing w:after="160" w:line="276" w:lineRule="auto"/>
              <w:jc w:val="center"/>
              <w:rPr>
                <w:rFonts w:cstheme="minorHAnsi"/>
              </w:rPr>
            </w:pPr>
            <w:r>
              <w:t>249</w:t>
            </w:r>
          </w:p>
        </w:tc>
        <w:tc>
          <w:tcPr>
            <w:tcW w:w="888" w:type="dxa"/>
            <w:tcBorders>
              <w:top w:val="single" w:sz="4" w:space="0" w:color="000000"/>
              <w:left w:val="single" w:sz="4" w:space="0" w:color="000000"/>
              <w:bottom w:val="single" w:sz="4" w:space="0" w:color="000000"/>
              <w:right w:val="single" w:sz="4" w:space="0" w:color="000000"/>
            </w:tcBorders>
            <w:vAlign w:val="center"/>
          </w:tcPr>
          <w:p w14:paraId="540760A6" w14:textId="77777777" w:rsidR="00963AB6" w:rsidRPr="00DA6459" w:rsidRDefault="00724C64" w:rsidP="003E6550">
            <w:pPr>
              <w:spacing w:after="160" w:line="276" w:lineRule="auto"/>
              <w:jc w:val="center"/>
              <w:rPr>
                <w:rFonts w:cstheme="minorHAnsi"/>
              </w:rPr>
            </w:pPr>
            <w:r>
              <w:t>258</w:t>
            </w:r>
          </w:p>
        </w:tc>
        <w:tc>
          <w:tcPr>
            <w:tcW w:w="888" w:type="dxa"/>
            <w:tcBorders>
              <w:top w:val="single" w:sz="4" w:space="0" w:color="000000"/>
              <w:left w:val="single" w:sz="4" w:space="0" w:color="000000"/>
              <w:bottom w:val="single" w:sz="4" w:space="0" w:color="000000"/>
              <w:right w:val="single" w:sz="4" w:space="0" w:color="000000"/>
            </w:tcBorders>
            <w:vAlign w:val="center"/>
          </w:tcPr>
          <w:p w14:paraId="3A139D71" w14:textId="77777777" w:rsidR="00963AB6" w:rsidRPr="00DA6459" w:rsidRDefault="00724C64" w:rsidP="003E6550">
            <w:pPr>
              <w:spacing w:after="160" w:line="276" w:lineRule="auto"/>
              <w:jc w:val="center"/>
              <w:rPr>
                <w:rFonts w:cstheme="minorHAnsi"/>
              </w:rPr>
            </w:pPr>
            <w:r>
              <w:t>279</w:t>
            </w:r>
          </w:p>
        </w:tc>
      </w:tr>
    </w:tbl>
    <w:p w14:paraId="16BB181E" w14:textId="14149C61" w:rsidR="00963AB6" w:rsidRPr="00DA6459" w:rsidRDefault="00724C64" w:rsidP="007563F9">
      <w:pPr>
        <w:spacing w:before="120" w:after="120" w:line="240" w:lineRule="auto"/>
        <w:jc w:val="center"/>
        <w:rPr>
          <w:rFonts w:ascii="Calibri" w:eastAsia="Calibri" w:hAnsi="Calibri"/>
          <w:b/>
          <w:iCs/>
        </w:rPr>
      </w:pPr>
      <w:bookmarkStart w:id="44" w:name="_Toc518377711"/>
      <w:r>
        <w:rPr>
          <w:rFonts w:ascii="Calibri" w:hAnsi="Calibri"/>
          <w:b/>
          <w:iCs/>
        </w:rPr>
        <w:t xml:space="preserve">Tabela </w:t>
      </w:r>
      <w:r w:rsidRPr="00DA6459">
        <w:rPr>
          <w:rFonts w:ascii="Calibri" w:eastAsia="Calibri" w:hAnsi="Calibri"/>
          <w:b/>
          <w:iCs/>
        </w:rPr>
        <w:fldChar w:fldCharType="begin"/>
      </w:r>
      <w:r w:rsidRPr="00DA6459">
        <w:rPr>
          <w:rFonts w:ascii="Calibri" w:eastAsia="Calibri" w:hAnsi="Calibri"/>
          <w:b/>
          <w:iCs/>
        </w:rPr>
        <w:instrText xml:space="preserve"> SEQ Table \* ARABIC </w:instrText>
      </w:r>
      <w:r w:rsidRPr="00DA6459">
        <w:rPr>
          <w:rFonts w:ascii="Calibri" w:eastAsia="Calibri" w:hAnsi="Calibri"/>
          <w:b/>
          <w:iCs/>
        </w:rPr>
        <w:fldChar w:fldCharType="separate"/>
      </w:r>
      <w:r w:rsidR="00DC4741">
        <w:rPr>
          <w:rFonts w:ascii="Calibri" w:eastAsia="Calibri" w:hAnsi="Calibri"/>
          <w:b/>
          <w:iCs/>
          <w:noProof/>
        </w:rPr>
        <w:t>19</w:t>
      </w:r>
      <w:r w:rsidRPr="00DA6459">
        <w:rPr>
          <w:rFonts w:ascii="Calibri" w:eastAsia="Calibri" w:hAnsi="Calibri"/>
          <w:b/>
          <w:iCs/>
        </w:rPr>
        <w:fldChar w:fldCharType="end"/>
      </w:r>
      <w:r>
        <w:rPr>
          <w:rFonts w:ascii="Calibri" w:hAnsi="Calibri"/>
          <w:b/>
          <w:iCs/>
        </w:rPr>
        <w:t>: Potenciali i disponueshëm në Kosovë për secilën teknologji të energjisë së ripërtërishme në transport, për periudhën 2009-2020 (ktoe).</w:t>
      </w:r>
      <w:bookmarkEnd w:id="44"/>
    </w:p>
    <w:tbl>
      <w:tblPr>
        <w:tblStyle w:val="TableGrid0"/>
        <w:tblW w:w="14029" w:type="dxa"/>
        <w:jc w:val="center"/>
        <w:tblInd w:w="0" w:type="dxa"/>
        <w:tblCellMar>
          <w:left w:w="108" w:type="dxa"/>
          <w:right w:w="63" w:type="dxa"/>
        </w:tblCellMar>
        <w:tblLook w:val="04A0" w:firstRow="1" w:lastRow="0" w:firstColumn="1" w:lastColumn="0" w:noHBand="0" w:noVBand="1"/>
      </w:tblPr>
      <w:tblGrid>
        <w:gridCol w:w="2835"/>
        <w:gridCol w:w="932"/>
        <w:gridCol w:w="932"/>
        <w:gridCol w:w="934"/>
        <w:gridCol w:w="932"/>
        <w:gridCol w:w="934"/>
        <w:gridCol w:w="932"/>
        <w:gridCol w:w="932"/>
        <w:gridCol w:w="934"/>
        <w:gridCol w:w="932"/>
        <w:gridCol w:w="934"/>
        <w:gridCol w:w="932"/>
        <w:gridCol w:w="934"/>
      </w:tblGrid>
      <w:tr w:rsidR="00963AB6" w:rsidRPr="0033055B" w14:paraId="27A75C4B" w14:textId="77777777" w:rsidTr="007563F9">
        <w:trPr>
          <w:trHeight w:val="464"/>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298EF3F" w14:textId="77777777" w:rsidR="00963AB6" w:rsidRPr="00DA6459" w:rsidRDefault="00963AB6" w:rsidP="003E6550">
            <w:pPr>
              <w:keepNext/>
              <w:keepLines/>
              <w:spacing w:before="240" w:line="276" w:lineRule="auto"/>
              <w:jc w:val="center"/>
              <w:outlineLvl w:val="0"/>
              <w:rPr>
                <w:rFonts w:cstheme="minorHAnsi"/>
                <w:lang w:val="en-GB"/>
              </w:rPr>
            </w:pPr>
          </w:p>
        </w:tc>
        <w:tc>
          <w:tcPr>
            <w:tcW w:w="93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01F0E24" w14:textId="77777777" w:rsidR="00963AB6" w:rsidRPr="002920FA" w:rsidRDefault="00724C64" w:rsidP="003E6550">
            <w:pPr>
              <w:spacing w:after="160" w:line="276" w:lineRule="auto"/>
              <w:jc w:val="center"/>
              <w:rPr>
                <w:rFonts w:cstheme="minorHAnsi"/>
                <w:b/>
              </w:rPr>
            </w:pPr>
            <w:r>
              <w:rPr>
                <w:b/>
              </w:rPr>
              <w:t>2009</w:t>
            </w:r>
          </w:p>
        </w:tc>
        <w:tc>
          <w:tcPr>
            <w:tcW w:w="93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26E5525" w14:textId="77777777" w:rsidR="00963AB6" w:rsidRPr="00053368" w:rsidRDefault="00724C64" w:rsidP="003E6550">
            <w:pPr>
              <w:spacing w:after="160" w:line="276" w:lineRule="auto"/>
              <w:jc w:val="center"/>
              <w:rPr>
                <w:rFonts w:cstheme="minorHAnsi"/>
                <w:b/>
              </w:rPr>
            </w:pPr>
            <w:r>
              <w:rPr>
                <w:b/>
              </w:rPr>
              <w:t>2010</w:t>
            </w:r>
          </w:p>
        </w:tc>
        <w:tc>
          <w:tcPr>
            <w:tcW w:w="9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DC52CA7" w14:textId="77777777" w:rsidR="00963AB6" w:rsidRPr="00053368" w:rsidRDefault="00724C64" w:rsidP="003E6550">
            <w:pPr>
              <w:spacing w:after="160" w:line="276" w:lineRule="auto"/>
              <w:jc w:val="center"/>
              <w:rPr>
                <w:rFonts w:cstheme="minorHAnsi"/>
                <w:b/>
              </w:rPr>
            </w:pPr>
            <w:r>
              <w:rPr>
                <w:b/>
              </w:rPr>
              <w:t>2011</w:t>
            </w:r>
          </w:p>
        </w:tc>
        <w:tc>
          <w:tcPr>
            <w:tcW w:w="93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04EF610" w14:textId="77777777" w:rsidR="00963AB6" w:rsidRPr="00053368" w:rsidRDefault="00724C64" w:rsidP="003E6550">
            <w:pPr>
              <w:spacing w:after="160" w:line="276" w:lineRule="auto"/>
              <w:jc w:val="center"/>
              <w:rPr>
                <w:rFonts w:cstheme="minorHAnsi"/>
                <w:b/>
              </w:rPr>
            </w:pPr>
            <w:r>
              <w:rPr>
                <w:b/>
              </w:rPr>
              <w:t>2012</w:t>
            </w:r>
          </w:p>
        </w:tc>
        <w:tc>
          <w:tcPr>
            <w:tcW w:w="9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0426CCC" w14:textId="77777777" w:rsidR="00963AB6" w:rsidRPr="00053368" w:rsidRDefault="00724C64" w:rsidP="003E6550">
            <w:pPr>
              <w:spacing w:after="160" w:line="276" w:lineRule="auto"/>
              <w:jc w:val="center"/>
              <w:rPr>
                <w:rFonts w:cstheme="minorHAnsi"/>
                <w:b/>
              </w:rPr>
            </w:pPr>
            <w:r>
              <w:rPr>
                <w:b/>
              </w:rPr>
              <w:t>2013</w:t>
            </w:r>
          </w:p>
        </w:tc>
        <w:tc>
          <w:tcPr>
            <w:tcW w:w="93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F54B5A9" w14:textId="77777777" w:rsidR="00963AB6" w:rsidRPr="00053368" w:rsidRDefault="00724C64" w:rsidP="003E6550">
            <w:pPr>
              <w:spacing w:after="160" w:line="276" w:lineRule="auto"/>
              <w:jc w:val="center"/>
              <w:rPr>
                <w:rFonts w:cstheme="minorHAnsi"/>
                <w:b/>
              </w:rPr>
            </w:pPr>
            <w:r>
              <w:rPr>
                <w:b/>
              </w:rPr>
              <w:t>2014</w:t>
            </w:r>
          </w:p>
        </w:tc>
        <w:tc>
          <w:tcPr>
            <w:tcW w:w="93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FC9EF47" w14:textId="77777777" w:rsidR="00963AB6" w:rsidRPr="00053368" w:rsidRDefault="00724C64" w:rsidP="003E6550">
            <w:pPr>
              <w:spacing w:after="160" w:line="276" w:lineRule="auto"/>
              <w:jc w:val="center"/>
              <w:rPr>
                <w:rFonts w:cstheme="minorHAnsi"/>
                <w:b/>
              </w:rPr>
            </w:pPr>
            <w:r>
              <w:rPr>
                <w:b/>
              </w:rPr>
              <w:t>2015</w:t>
            </w:r>
          </w:p>
        </w:tc>
        <w:tc>
          <w:tcPr>
            <w:tcW w:w="9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0ED83AA" w14:textId="77777777" w:rsidR="00963AB6" w:rsidRPr="00053368" w:rsidRDefault="00724C64" w:rsidP="003E6550">
            <w:pPr>
              <w:spacing w:after="160" w:line="276" w:lineRule="auto"/>
              <w:jc w:val="center"/>
              <w:rPr>
                <w:rFonts w:cstheme="minorHAnsi"/>
                <w:b/>
              </w:rPr>
            </w:pPr>
            <w:r>
              <w:rPr>
                <w:b/>
              </w:rPr>
              <w:t>2016</w:t>
            </w:r>
          </w:p>
        </w:tc>
        <w:tc>
          <w:tcPr>
            <w:tcW w:w="93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2E0B074" w14:textId="77777777" w:rsidR="00963AB6" w:rsidRPr="00053368" w:rsidRDefault="00724C64" w:rsidP="003E6550">
            <w:pPr>
              <w:spacing w:after="160" w:line="276" w:lineRule="auto"/>
              <w:jc w:val="center"/>
              <w:rPr>
                <w:rFonts w:cstheme="minorHAnsi"/>
                <w:b/>
              </w:rPr>
            </w:pPr>
            <w:r>
              <w:rPr>
                <w:b/>
              </w:rPr>
              <w:t>2017</w:t>
            </w:r>
          </w:p>
        </w:tc>
        <w:tc>
          <w:tcPr>
            <w:tcW w:w="9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0DE259C" w14:textId="77777777" w:rsidR="00963AB6" w:rsidRPr="00053368" w:rsidRDefault="00724C64" w:rsidP="003E6550">
            <w:pPr>
              <w:spacing w:after="160" w:line="276" w:lineRule="auto"/>
              <w:jc w:val="center"/>
              <w:rPr>
                <w:rFonts w:cstheme="minorHAnsi"/>
                <w:b/>
              </w:rPr>
            </w:pPr>
            <w:r>
              <w:rPr>
                <w:b/>
              </w:rPr>
              <w:t>2018</w:t>
            </w:r>
          </w:p>
        </w:tc>
        <w:tc>
          <w:tcPr>
            <w:tcW w:w="93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555C45A" w14:textId="77777777" w:rsidR="00963AB6" w:rsidRPr="00053368" w:rsidRDefault="00724C64" w:rsidP="003E6550">
            <w:pPr>
              <w:spacing w:after="160" w:line="276" w:lineRule="auto"/>
              <w:jc w:val="center"/>
              <w:rPr>
                <w:rFonts w:cstheme="minorHAnsi"/>
                <w:b/>
              </w:rPr>
            </w:pPr>
            <w:r>
              <w:rPr>
                <w:b/>
              </w:rPr>
              <w:t>2019</w:t>
            </w:r>
          </w:p>
        </w:tc>
        <w:tc>
          <w:tcPr>
            <w:tcW w:w="9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65A7781" w14:textId="77777777" w:rsidR="00963AB6" w:rsidRPr="00053368" w:rsidRDefault="00724C64" w:rsidP="003E6550">
            <w:pPr>
              <w:spacing w:after="160" w:line="276" w:lineRule="auto"/>
              <w:jc w:val="center"/>
              <w:rPr>
                <w:rFonts w:cstheme="minorHAnsi"/>
                <w:b/>
              </w:rPr>
            </w:pPr>
            <w:r>
              <w:rPr>
                <w:b/>
              </w:rPr>
              <w:t>2020</w:t>
            </w:r>
          </w:p>
        </w:tc>
      </w:tr>
      <w:tr w:rsidR="00963AB6" w:rsidRPr="0033055B" w14:paraId="7E6AB93B" w14:textId="77777777" w:rsidTr="007563F9">
        <w:trPr>
          <w:trHeight w:val="463"/>
          <w:jc w:val="center"/>
        </w:trPr>
        <w:tc>
          <w:tcPr>
            <w:tcW w:w="2835" w:type="dxa"/>
            <w:tcBorders>
              <w:top w:val="single" w:sz="4" w:space="0" w:color="000000"/>
              <w:left w:val="single" w:sz="4" w:space="0" w:color="000000"/>
              <w:bottom w:val="single" w:sz="4" w:space="0" w:color="000000"/>
              <w:right w:val="single" w:sz="4" w:space="0" w:color="000000"/>
            </w:tcBorders>
            <w:vAlign w:val="center"/>
          </w:tcPr>
          <w:p w14:paraId="5A8C6736" w14:textId="77777777" w:rsidR="00963AB6" w:rsidRPr="00053368" w:rsidRDefault="00724C64" w:rsidP="003E6550">
            <w:pPr>
              <w:spacing w:after="160" w:line="276" w:lineRule="auto"/>
              <w:jc w:val="center"/>
              <w:rPr>
                <w:rFonts w:cstheme="minorHAnsi"/>
              </w:rPr>
            </w:pPr>
            <w:r>
              <w:t>Bioetanol/bio-ETBE</w:t>
            </w:r>
          </w:p>
        </w:tc>
        <w:tc>
          <w:tcPr>
            <w:tcW w:w="932" w:type="dxa"/>
            <w:tcBorders>
              <w:top w:val="single" w:sz="4" w:space="0" w:color="000000"/>
              <w:left w:val="single" w:sz="4" w:space="0" w:color="000000"/>
              <w:bottom w:val="single" w:sz="4" w:space="0" w:color="000000"/>
              <w:right w:val="single" w:sz="4" w:space="0" w:color="000000"/>
            </w:tcBorders>
            <w:vAlign w:val="center"/>
          </w:tcPr>
          <w:p w14:paraId="576064C6" w14:textId="77777777" w:rsidR="00963AB6" w:rsidRPr="00053368" w:rsidRDefault="00724C64" w:rsidP="003E6550">
            <w:pPr>
              <w:spacing w:after="160" w:line="276" w:lineRule="auto"/>
              <w:jc w:val="center"/>
              <w:rPr>
                <w:rFonts w:cstheme="minorHAnsi"/>
              </w:rPr>
            </w:pPr>
            <w:r>
              <w:t>0.0</w:t>
            </w:r>
          </w:p>
        </w:tc>
        <w:tc>
          <w:tcPr>
            <w:tcW w:w="932" w:type="dxa"/>
            <w:tcBorders>
              <w:top w:val="single" w:sz="4" w:space="0" w:color="000000"/>
              <w:left w:val="single" w:sz="4" w:space="0" w:color="000000"/>
              <w:bottom w:val="single" w:sz="4" w:space="0" w:color="000000"/>
              <w:right w:val="single" w:sz="4" w:space="0" w:color="000000"/>
            </w:tcBorders>
            <w:vAlign w:val="center"/>
          </w:tcPr>
          <w:p w14:paraId="2806D7D3" w14:textId="77777777" w:rsidR="00963AB6" w:rsidRPr="00053368" w:rsidRDefault="00724C64" w:rsidP="003E6550">
            <w:pPr>
              <w:spacing w:after="160" w:line="276" w:lineRule="auto"/>
              <w:jc w:val="center"/>
              <w:rPr>
                <w:rFonts w:cstheme="minorHAnsi"/>
              </w:rPr>
            </w:pPr>
            <w:r>
              <w:t>0.0</w:t>
            </w:r>
          </w:p>
        </w:tc>
        <w:tc>
          <w:tcPr>
            <w:tcW w:w="934" w:type="dxa"/>
            <w:tcBorders>
              <w:top w:val="single" w:sz="4" w:space="0" w:color="000000"/>
              <w:left w:val="single" w:sz="4" w:space="0" w:color="000000"/>
              <w:bottom w:val="single" w:sz="4" w:space="0" w:color="000000"/>
              <w:right w:val="single" w:sz="4" w:space="0" w:color="000000"/>
            </w:tcBorders>
            <w:vAlign w:val="center"/>
          </w:tcPr>
          <w:p w14:paraId="29926F9A" w14:textId="77777777" w:rsidR="00963AB6" w:rsidRPr="00053368" w:rsidRDefault="00724C64" w:rsidP="003E6550">
            <w:pPr>
              <w:spacing w:after="160" w:line="276" w:lineRule="auto"/>
              <w:jc w:val="center"/>
              <w:rPr>
                <w:rFonts w:cstheme="minorHAnsi"/>
              </w:rPr>
            </w:pPr>
            <w:r>
              <w:t>0.0</w:t>
            </w:r>
          </w:p>
        </w:tc>
        <w:tc>
          <w:tcPr>
            <w:tcW w:w="932" w:type="dxa"/>
            <w:tcBorders>
              <w:top w:val="single" w:sz="4" w:space="0" w:color="000000"/>
              <w:left w:val="single" w:sz="4" w:space="0" w:color="000000"/>
              <w:bottom w:val="single" w:sz="4" w:space="0" w:color="000000"/>
              <w:right w:val="single" w:sz="4" w:space="0" w:color="000000"/>
            </w:tcBorders>
            <w:vAlign w:val="center"/>
          </w:tcPr>
          <w:p w14:paraId="71D03864" w14:textId="77777777" w:rsidR="00963AB6" w:rsidRPr="00053368" w:rsidRDefault="00724C64" w:rsidP="003E6550">
            <w:pPr>
              <w:spacing w:after="160" w:line="276" w:lineRule="auto"/>
              <w:jc w:val="center"/>
              <w:rPr>
                <w:rFonts w:cstheme="minorHAnsi"/>
              </w:rPr>
            </w:pPr>
            <w:r>
              <w:t>0.0</w:t>
            </w:r>
          </w:p>
        </w:tc>
        <w:tc>
          <w:tcPr>
            <w:tcW w:w="934" w:type="dxa"/>
            <w:tcBorders>
              <w:top w:val="single" w:sz="4" w:space="0" w:color="000000"/>
              <w:left w:val="single" w:sz="4" w:space="0" w:color="000000"/>
              <w:bottom w:val="single" w:sz="4" w:space="0" w:color="000000"/>
              <w:right w:val="single" w:sz="4" w:space="0" w:color="000000"/>
            </w:tcBorders>
            <w:vAlign w:val="center"/>
          </w:tcPr>
          <w:p w14:paraId="5C103F2D" w14:textId="77777777" w:rsidR="00963AB6" w:rsidRPr="00053368" w:rsidRDefault="00724C64" w:rsidP="003E6550">
            <w:pPr>
              <w:spacing w:after="160" w:line="276" w:lineRule="auto"/>
              <w:jc w:val="center"/>
              <w:rPr>
                <w:rFonts w:cstheme="minorHAnsi"/>
              </w:rPr>
            </w:pPr>
            <w:r>
              <w:t>0.0</w:t>
            </w:r>
          </w:p>
        </w:tc>
        <w:tc>
          <w:tcPr>
            <w:tcW w:w="932" w:type="dxa"/>
            <w:tcBorders>
              <w:top w:val="single" w:sz="4" w:space="0" w:color="000000"/>
              <w:left w:val="single" w:sz="4" w:space="0" w:color="000000"/>
              <w:bottom w:val="single" w:sz="4" w:space="0" w:color="000000"/>
              <w:right w:val="single" w:sz="4" w:space="0" w:color="000000"/>
            </w:tcBorders>
            <w:vAlign w:val="center"/>
          </w:tcPr>
          <w:p w14:paraId="76547C15" w14:textId="77777777" w:rsidR="00963AB6" w:rsidRPr="00053368" w:rsidRDefault="00724C64" w:rsidP="003E6550">
            <w:pPr>
              <w:spacing w:after="160" w:line="276" w:lineRule="auto"/>
              <w:jc w:val="center"/>
              <w:rPr>
                <w:rFonts w:cstheme="minorHAnsi"/>
              </w:rPr>
            </w:pPr>
            <w:r>
              <w:t>0.0</w:t>
            </w:r>
          </w:p>
        </w:tc>
        <w:tc>
          <w:tcPr>
            <w:tcW w:w="932" w:type="dxa"/>
            <w:tcBorders>
              <w:top w:val="single" w:sz="4" w:space="0" w:color="000000"/>
              <w:left w:val="single" w:sz="4" w:space="0" w:color="000000"/>
              <w:bottom w:val="single" w:sz="4" w:space="0" w:color="000000"/>
              <w:right w:val="single" w:sz="4" w:space="0" w:color="000000"/>
            </w:tcBorders>
            <w:vAlign w:val="center"/>
          </w:tcPr>
          <w:p w14:paraId="2229308F" w14:textId="77777777" w:rsidR="00963AB6" w:rsidRPr="00053368" w:rsidRDefault="00724C64" w:rsidP="003E6550">
            <w:pPr>
              <w:spacing w:after="160" w:line="276" w:lineRule="auto"/>
              <w:jc w:val="center"/>
              <w:rPr>
                <w:rFonts w:cstheme="minorHAnsi"/>
              </w:rPr>
            </w:pPr>
            <w:r>
              <w:t>0.0</w:t>
            </w:r>
          </w:p>
        </w:tc>
        <w:tc>
          <w:tcPr>
            <w:tcW w:w="934" w:type="dxa"/>
            <w:tcBorders>
              <w:top w:val="single" w:sz="4" w:space="0" w:color="000000"/>
              <w:left w:val="single" w:sz="4" w:space="0" w:color="000000"/>
              <w:bottom w:val="single" w:sz="4" w:space="0" w:color="000000"/>
              <w:right w:val="single" w:sz="4" w:space="0" w:color="000000"/>
            </w:tcBorders>
            <w:vAlign w:val="center"/>
          </w:tcPr>
          <w:p w14:paraId="2138AC67" w14:textId="77777777" w:rsidR="00963AB6" w:rsidRPr="00053368" w:rsidRDefault="00724C64" w:rsidP="003E6550">
            <w:pPr>
              <w:spacing w:after="160" w:line="276" w:lineRule="auto"/>
              <w:jc w:val="center"/>
              <w:rPr>
                <w:rFonts w:cstheme="minorHAnsi"/>
              </w:rPr>
            </w:pPr>
            <w:r>
              <w:t>0.0</w:t>
            </w:r>
          </w:p>
        </w:tc>
        <w:tc>
          <w:tcPr>
            <w:tcW w:w="932" w:type="dxa"/>
            <w:tcBorders>
              <w:top w:val="single" w:sz="4" w:space="0" w:color="000000"/>
              <w:left w:val="single" w:sz="4" w:space="0" w:color="000000"/>
              <w:bottom w:val="single" w:sz="4" w:space="0" w:color="000000"/>
              <w:right w:val="single" w:sz="4" w:space="0" w:color="000000"/>
            </w:tcBorders>
            <w:vAlign w:val="center"/>
          </w:tcPr>
          <w:p w14:paraId="163AA5B7" w14:textId="77777777" w:rsidR="00963AB6" w:rsidRPr="00053368" w:rsidRDefault="00724C64" w:rsidP="003E6550">
            <w:pPr>
              <w:spacing w:after="160" w:line="276" w:lineRule="auto"/>
              <w:jc w:val="center"/>
              <w:rPr>
                <w:rFonts w:cstheme="minorHAnsi"/>
              </w:rPr>
            </w:pPr>
            <w:r>
              <w:t>0.0</w:t>
            </w:r>
          </w:p>
        </w:tc>
        <w:tc>
          <w:tcPr>
            <w:tcW w:w="934" w:type="dxa"/>
            <w:tcBorders>
              <w:top w:val="single" w:sz="4" w:space="0" w:color="000000"/>
              <w:left w:val="single" w:sz="4" w:space="0" w:color="000000"/>
              <w:bottom w:val="single" w:sz="4" w:space="0" w:color="000000"/>
              <w:right w:val="single" w:sz="4" w:space="0" w:color="000000"/>
            </w:tcBorders>
            <w:vAlign w:val="center"/>
          </w:tcPr>
          <w:p w14:paraId="62F41D18" w14:textId="77777777" w:rsidR="00963AB6" w:rsidRPr="00053368" w:rsidRDefault="00724C64" w:rsidP="003E6550">
            <w:pPr>
              <w:spacing w:after="160" w:line="276" w:lineRule="auto"/>
              <w:jc w:val="center"/>
              <w:rPr>
                <w:rFonts w:cstheme="minorHAnsi"/>
              </w:rPr>
            </w:pPr>
            <w:r>
              <w:t>0</w:t>
            </w:r>
          </w:p>
        </w:tc>
        <w:tc>
          <w:tcPr>
            <w:tcW w:w="932" w:type="dxa"/>
            <w:tcBorders>
              <w:top w:val="single" w:sz="4" w:space="0" w:color="000000"/>
              <w:left w:val="single" w:sz="4" w:space="0" w:color="000000"/>
              <w:bottom w:val="single" w:sz="4" w:space="0" w:color="000000"/>
              <w:right w:val="single" w:sz="4" w:space="0" w:color="000000"/>
            </w:tcBorders>
            <w:vAlign w:val="center"/>
          </w:tcPr>
          <w:p w14:paraId="4A0D03BA" w14:textId="77777777" w:rsidR="00963AB6" w:rsidRPr="00053368" w:rsidRDefault="00724C64" w:rsidP="003E6550">
            <w:pPr>
              <w:spacing w:after="160" w:line="276" w:lineRule="auto"/>
              <w:jc w:val="center"/>
              <w:rPr>
                <w:rFonts w:cstheme="minorHAnsi"/>
              </w:rPr>
            </w:pPr>
            <w:r>
              <w:t>1</w:t>
            </w:r>
          </w:p>
        </w:tc>
        <w:tc>
          <w:tcPr>
            <w:tcW w:w="934" w:type="dxa"/>
            <w:tcBorders>
              <w:top w:val="single" w:sz="4" w:space="0" w:color="000000"/>
              <w:left w:val="single" w:sz="4" w:space="0" w:color="000000"/>
              <w:bottom w:val="single" w:sz="4" w:space="0" w:color="000000"/>
              <w:right w:val="single" w:sz="4" w:space="0" w:color="000000"/>
            </w:tcBorders>
            <w:vAlign w:val="center"/>
          </w:tcPr>
          <w:p w14:paraId="7054C086" w14:textId="77777777" w:rsidR="00963AB6" w:rsidRPr="00053368" w:rsidRDefault="00724C64" w:rsidP="003E6550">
            <w:pPr>
              <w:spacing w:after="160" w:line="276" w:lineRule="auto"/>
              <w:jc w:val="center"/>
              <w:rPr>
                <w:rFonts w:cstheme="minorHAnsi"/>
              </w:rPr>
            </w:pPr>
            <w:r>
              <w:t>6</w:t>
            </w:r>
          </w:p>
        </w:tc>
      </w:tr>
      <w:tr w:rsidR="00963AB6" w:rsidRPr="0033055B" w14:paraId="632A15B2" w14:textId="77777777" w:rsidTr="007563F9">
        <w:trPr>
          <w:trHeight w:val="553"/>
          <w:jc w:val="center"/>
        </w:trPr>
        <w:tc>
          <w:tcPr>
            <w:tcW w:w="2835" w:type="dxa"/>
            <w:tcBorders>
              <w:top w:val="single" w:sz="4" w:space="0" w:color="000000"/>
              <w:left w:val="single" w:sz="4" w:space="0" w:color="000000"/>
              <w:bottom w:val="single" w:sz="4" w:space="0" w:color="000000"/>
              <w:right w:val="single" w:sz="4" w:space="0" w:color="000000"/>
            </w:tcBorders>
          </w:tcPr>
          <w:p w14:paraId="5F5103A5" w14:textId="77777777" w:rsidR="00963AB6" w:rsidRPr="00053368" w:rsidRDefault="00724C64" w:rsidP="007563F9">
            <w:pPr>
              <w:spacing w:after="69" w:line="259" w:lineRule="auto"/>
              <w:jc w:val="center"/>
              <w:rPr>
                <w:rFonts w:cstheme="minorHAnsi"/>
              </w:rPr>
            </w:pPr>
            <w:r>
              <w:t xml:space="preserve">Prej të cilave bio-lëndë </w:t>
            </w:r>
            <w:r w:rsidRPr="00053368">
              <w:rPr>
                <w:rStyle w:val="FootnoteReference"/>
                <w:lang w:val="en-GB"/>
              </w:rPr>
              <w:footnoteReference w:id="29"/>
            </w:r>
            <w:r>
              <w:t xml:space="preserve"> neni 21(2)</w:t>
            </w:r>
          </w:p>
        </w:tc>
        <w:tc>
          <w:tcPr>
            <w:tcW w:w="932" w:type="dxa"/>
            <w:tcBorders>
              <w:top w:val="single" w:sz="4" w:space="0" w:color="000000"/>
              <w:left w:val="single" w:sz="4" w:space="0" w:color="000000"/>
              <w:bottom w:val="single" w:sz="4" w:space="0" w:color="000000"/>
              <w:right w:val="single" w:sz="4" w:space="0" w:color="000000"/>
            </w:tcBorders>
            <w:vAlign w:val="center"/>
          </w:tcPr>
          <w:p w14:paraId="4205AA7B" w14:textId="77777777" w:rsidR="00963AB6" w:rsidRPr="00053368" w:rsidRDefault="00724C64" w:rsidP="003E6550">
            <w:pPr>
              <w:spacing w:after="160" w:line="276" w:lineRule="auto"/>
              <w:jc w:val="center"/>
              <w:rPr>
                <w:rFonts w:cstheme="minorHAnsi"/>
              </w:rPr>
            </w:pPr>
            <w:r>
              <w:t>0.0</w:t>
            </w:r>
          </w:p>
        </w:tc>
        <w:tc>
          <w:tcPr>
            <w:tcW w:w="932" w:type="dxa"/>
            <w:tcBorders>
              <w:top w:val="single" w:sz="4" w:space="0" w:color="000000"/>
              <w:left w:val="single" w:sz="4" w:space="0" w:color="000000"/>
              <w:bottom w:val="single" w:sz="4" w:space="0" w:color="000000"/>
              <w:right w:val="single" w:sz="4" w:space="0" w:color="000000"/>
            </w:tcBorders>
            <w:vAlign w:val="center"/>
          </w:tcPr>
          <w:p w14:paraId="6E6A0CD8" w14:textId="77777777" w:rsidR="00963AB6" w:rsidRPr="00053368" w:rsidRDefault="00724C64" w:rsidP="003E6550">
            <w:pPr>
              <w:spacing w:after="160" w:line="276" w:lineRule="auto"/>
              <w:jc w:val="center"/>
              <w:rPr>
                <w:rFonts w:cstheme="minorHAnsi"/>
              </w:rPr>
            </w:pPr>
            <w:r>
              <w:t>0.0</w:t>
            </w:r>
          </w:p>
        </w:tc>
        <w:tc>
          <w:tcPr>
            <w:tcW w:w="934" w:type="dxa"/>
            <w:tcBorders>
              <w:top w:val="single" w:sz="4" w:space="0" w:color="000000"/>
              <w:left w:val="single" w:sz="4" w:space="0" w:color="000000"/>
              <w:bottom w:val="single" w:sz="4" w:space="0" w:color="000000"/>
              <w:right w:val="single" w:sz="4" w:space="0" w:color="000000"/>
            </w:tcBorders>
            <w:vAlign w:val="center"/>
          </w:tcPr>
          <w:p w14:paraId="757BA457" w14:textId="77777777" w:rsidR="00963AB6" w:rsidRPr="00053368" w:rsidRDefault="00724C64" w:rsidP="003E6550">
            <w:pPr>
              <w:spacing w:after="160" w:line="276" w:lineRule="auto"/>
              <w:jc w:val="center"/>
              <w:rPr>
                <w:rFonts w:cstheme="minorHAnsi"/>
              </w:rPr>
            </w:pPr>
            <w:r>
              <w:t>0.0</w:t>
            </w:r>
          </w:p>
        </w:tc>
        <w:tc>
          <w:tcPr>
            <w:tcW w:w="932" w:type="dxa"/>
            <w:tcBorders>
              <w:top w:val="single" w:sz="4" w:space="0" w:color="000000"/>
              <w:left w:val="single" w:sz="4" w:space="0" w:color="000000"/>
              <w:bottom w:val="single" w:sz="4" w:space="0" w:color="000000"/>
              <w:right w:val="single" w:sz="4" w:space="0" w:color="000000"/>
            </w:tcBorders>
            <w:vAlign w:val="center"/>
          </w:tcPr>
          <w:p w14:paraId="235C90C6" w14:textId="77777777" w:rsidR="00963AB6" w:rsidRPr="00053368" w:rsidRDefault="00724C64" w:rsidP="003E6550">
            <w:pPr>
              <w:spacing w:after="160" w:line="276" w:lineRule="auto"/>
              <w:jc w:val="center"/>
              <w:rPr>
                <w:rFonts w:cstheme="minorHAnsi"/>
              </w:rPr>
            </w:pPr>
            <w:r>
              <w:t>0.0</w:t>
            </w:r>
          </w:p>
        </w:tc>
        <w:tc>
          <w:tcPr>
            <w:tcW w:w="934" w:type="dxa"/>
            <w:tcBorders>
              <w:top w:val="single" w:sz="4" w:space="0" w:color="000000"/>
              <w:left w:val="single" w:sz="4" w:space="0" w:color="000000"/>
              <w:bottom w:val="single" w:sz="4" w:space="0" w:color="000000"/>
              <w:right w:val="single" w:sz="4" w:space="0" w:color="000000"/>
            </w:tcBorders>
            <w:vAlign w:val="center"/>
          </w:tcPr>
          <w:p w14:paraId="312AB673" w14:textId="77777777" w:rsidR="00963AB6" w:rsidRPr="00053368" w:rsidRDefault="00724C64" w:rsidP="003E6550">
            <w:pPr>
              <w:spacing w:after="160" w:line="276" w:lineRule="auto"/>
              <w:jc w:val="center"/>
              <w:rPr>
                <w:rFonts w:cstheme="minorHAnsi"/>
              </w:rPr>
            </w:pPr>
            <w:r>
              <w:t>0.0</w:t>
            </w:r>
          </w:p>
        </w:tc>
        <w:tc>
          <w:tcPr>
            <w:tcW w:w="932" w:type="dxa"/>
            <w:tcBorders>
              <w:top w:val="single" w:sz="4" w:space="0" w:color="000000"/>
              <w:left w:val="single" w:sz="4" w:space="0" w:color="000000"/>
              <w:bottom w:val="single" w:sz="4" w:space="0" w:color="000000"/>
              <w:right w:val="single" w:sz="4" w:space="0" w:color="000000"/>
            </w:tcBorders>
            <w:vAlign w:val="center"/>
          </w:tcPr>
          <w:p w14:paraId="4EA62E4C" w14:textId="77777777" w:rsidR="00963AB6" w:rsidRPr="00053368" w:rsidRDefault="00724C64" w:rsidP="003E6550">
            <w:pPr>
              <w:spacing w:after="160" w:line="276" w:lineRule="auto"/>
              <w:jc w:val="center"/>
              <w:rPr>
                <w:rFonts w:cstheme="minorHAnsi"/>
              </w:rPr>
            </w:pPr>
            <w:r>
              <w:t>0.0</w:t>
            </w:r>
          </w:p>
        </w:tc>
        <w:tc>
          <w:tcPr>
            <w:tcW w:w="932" w:type="dxa"/>
            <w:tcBorders>
              <w:top w:val="single" w:sz="4" w:space="0" w:color="000000"/>
              <w:left w:val="single" w:sz="4" w:space="0" w:color="000000"/>
              <w:bottom w:val="single" w:sz="4" w:space="0" w:color="000000"/>
              <w:right w:val="single" w:sz="4" w:space="0" w:color="000000"/>
            </w:tcBorders>
            <w:vAlign w:val="center"/>
          </w:tcPr>
          <w:p w14:paraId="584AEF40" w14:textId="77777777" w:rsidR="00963AB6" w:rsidRPr="00053368" w:rsidRDefault="00724C64" w:rsidP="003E6550">
            <w:pPr>
              <w:spacing w:after="160" w:line="276" w:lineRule="auto"/>
              <w:jc w:val="center"/>
              <w:rPr>
                <w:rFonts w:cstheme="minorHAnsi"/>
              </w:rPr>
            </w:pPr>
            <w:r>
              <w:t>0.0</w:t>
            </w:r>
          </w:p>
        </w:tc>
        <w:tc>
          <w:tcPr>
            <w:tcW w:w="934" w:type="dxa"/>
            <w:tcBorders>
              <w:top w:val="single" w:sz="4" w:space="0" w:color="000000"/>
              <w:left w:val="single" w:sz="4" w:space="0" w:color="000000"/>
              <w:bottom w:val="single" w:sz="4" w:space="0" w:color="000000"/>
              <w:right w:val="single" w:sz="4" w:space="0" w:color="000000"/>
            </w:tcBorders>
            <w:vAlign w:val="center"/>
          </w:tcPr>
          <w:p w14:paraId="4DC95BB1" w14:textId="77777777" w:rsidR="00963AB6" w:rsidRPr="00053368" w:rsidRDefault="00724C64" w:rsidP="003E6550">
            <w:pPr>
              <w:spacing w:after="160" w:line="276" w:lineRule="auto"/>
              <w:jc w:val="center"/>
              <w:rPr>
                <w:rFonts w:cstheme="minorHAnsi"/>
              </w:rPr>
            </w:pPr>
            <w:r>
              <w:t>0.0</w:t>
            </w:r>
          </w:p>
        </w:tc>
        <w:tc>
          <w:tcPr>
            <w:tcW w:w="932" w:type="dxa"/>
            <w:tcBorders>
              <w:top w:val="single" w:sz="4" w:space="0" w:color="000000"/>
              <w:left w:val="single" w:sz="4" w:space="0" w:color="000000"/>
              <w:bottom w:val="single" w:sz="4" w:space="0" w:color="000000"/>
              <w:right w:val="single" w:sz="4" w:space="0" w:color="000000"/>
            </w:tcBorders>
            <w:vAlign w:val="center"/>
          </w:tcPr>
          <w:p w14:paraId="40CF6F4A" w14:textId="77777777" w:rsidR="00963AB6" w:rsidRPr="00053368" w:rsidRDefault="00724C64" w:rsidP="003E6550">
            <w:pPr>
              <w:spacing w:after="160" w:line="276" w:lineRule="auto"/>
              <w:jc w:val="center"/>
              <w:rPr>
                <w:rFonts w:cstheme="minorHAnsi"/>
              </w:rPr>
            </w:pPr>
            <w:r>
              <w:t>0.0</w:t>
            </w:r>
          </w:p>
        </w:tc>
        <w:tc>
          <w:tcPr>
            <w:tcW w:w="934" w:type="dxa"/>
            <w:tcBorders>
              <w:top w:val="single" w:sz="4" w:space="0" w:color="000000"/>
              <w:left w:val="single" w:sz="4" w:space="0" w:color="000000"/>
              <w:bottom w:val="single" w:sz="4" w:space="0" w:color="000000"/>
              <w:right w:val="single" w:sz="4" w:space="0" w:color="000000"/>
            </w:tcBorders>
            <w:vAlign w:val="center"/>
          </w:tcPr>
          <w:p w14:paraId="70ED497D" w14:textId="77777777" w:rsidR="00963AB6" w:rsidRPr="00053368" w:rsidRDefault="00724C64" w:rsidP="003E6550">
            <w:pPr>
              <w:spacing w:after="160" w:line="276" w:lineRule="auto"/>
              <w:jc w:val="center"/>
              <w:rPr>
                <w:rFonts w:cstheme="minorHAnsi"/>
              </w:rPr>
            </w:pPr>
            <w:r>
              <w:t>0.0</w:t>
            </w:r>
          </w:p>
        </w:tc>
        <w:tc>
          <w:tcPr>
            <w:tcW w:w="932" w:type="dxa"/>
            <w:tcBorders>
              <w:top w:val="single" w:sz="4" w:space="0" w:color="000000"/>
              <w:left w:val="single" w:sz="4" w:space="0" w:color="000000"/>
              <w:bottom w:val="single" w:sz="4" w:space="0" w:color="000000"/>
              <w:right w:val="single" w:sz="4" w:space="0" w:color="000000"/>
            </w:tcBorders>
            <w:vAlign w:val="center"/>
          </w:tcPr>
          <w:p w14:paraId="5A2937EB" w14:textId="77777777" w:rsidR="00963AB6" w:rsidRPr="00053368" w:rsidRDefault="00724C64" w:rsidP="003E6550">
            <w:pPr>
              <w:spacing w:after="160" w:line="276" w:lineRule="auto"/>
              <w:jc w:val="center"/>
              <w:rPr>
                <w:rFonts w:cstheme="minorHAnsi"/>
              </w:rPr>
            </w:pPr>
            <w:r>
              <w:t>0.0</w:t>
            </w:r>
          </w:p>
        </w:tc>
        <w:tc>
          <w:tcPr>
            <w:tcW w:w="934" w:type="dxa"/>
            <w:tcBorders>
              <w:top w:val="single" w:sz="4" w:space="0" w:color="000000"/>
              <w:left w:val="single" w:sz="4" w:space="0" w:color="000000"/>
              <w:bottom w:val="single" w:sz="4" w:space="0" w:color="000000"/>
              <w:right w:val="single" w:sz="4" w:space="0" w:color="000000"/>
            </w:tcBorders>
            <w:vAlign w:val="center"/>
          </w:tcPr>
          <w:p w14:paraId="7A5327C8" w14:textId="77777777" w:rsidR="00963AB6" w:rsidRPr="00053368" w:rsidRDefault="00724C64" w:rsidP="003E6550">
            <w:pPr>
              <w:spacing w:after="160" w:line="276" w:lineRule="auto"/>
              <w:jc w:val="center"/>
              <w:rPr>
                <w:rFonts w:cstheme="minorHAnsi"/>
              </w:rPr>
            </w:pPr>
            <w:r>
              <w:t>0.0</w:t>
            </w:r>
          </w:p>
        </w:tc>
      </w:tr>
      <w:tr w:rsidR="00963AB6" w:rsidRPr="0033055B" w14:paraId="099BB17B" w14:textId="77777777" w:rsidTr="007563F9">
        <w:trPr>
          <w:trHeight w:val="464"/>
          <w:jc w:val="center"/>
        </w:trPr>
        <w:tc>
          <w:tcPr>
            <w:tcW w:w="2835" w:type="dxa"/>
            <w:tcBorders>
              <w:top w:val="single" w:sz="4" w:space="0" w:color="000000"/>
              <w:left w:val="single" w:sz="4" w:space="0" w:color="000000"/>
              <w:bottom w:val="single" w:sz="4" w:space="0" w:color="000000"/>
              <w:right w:val="single" w:sz="4" w:space="0" w:color="000000"/>
            </w:tcBorders>
            <w:vAlign w:val="center"/>
          </w:tcPr>
          <w:p w14:paraId="608F392F" w14:textId="77777777" w:rsidR="00963AB6" w:rsidRPr="00053368" w:rsidRDefault="00724C64" w:rsidP="003E6550">
            <w:pPr>
              <w:spacing w:after="160" w:line="276" w:lineRule="auto"/>
              <w:jc w:val="center"/>
              <w:rPr>
                <w:rFonts w:cstheme="minorHAnsi"/>
              </w:rPr>
            </w:pPr>
            <w:r>
              <w:t>Prej të cilave të importuara</w:t>
            </w:r>
            <w:r w:rsidRPr="00053368">
              <w:rPr>
                <w:rStyle w:val="FootnoteReference"/>
                <w:lang w:val="en-GB"/>
              </w:rPr>
              <w:footnoteReference w:id="30"/>
            </w:r>
          </w:p>
        </w:tc>
        <w:tc>
          <w:tcPr>
            <w:tcW w:w="932" w:type="dxa"/>
            <w:tcBorders>
              <w:top w:val="single" w:sz="4" w:space="0" w:color="000000"/>
              <w:left w:val="single" w:sz="4" w:space="0" w:color="000000"/>
              <w:bottom w:val="single" w:sz="4" w:space="0" w:color="000000"/>
              <w:right w:val="single" w:sz="4" w:space="0" w:color="000000"/>
            </w:tcBorders>
            <w:vAlign w:val="center"/>
          </w:tcPr>
          <w:p w14:paraId="7191B303" w14:textId="77777777" w:rsidR="00963AB6" w:rsidRPr="00053368" w:rsidRDefault="00724C64" w:rsidP="003E6550">
            <w:pPr>
              <w:spacing w:after="160" w:line="276" w:lineRule="auto"/>
              <w:jc w:val="center"/>
              <w:rPr>
                <w:rFonts w:cstheme="minorHAnsi"/>
              </w:rPr>
            </w:pPr>
            <w:r>
              <w:t>0.0</w:t>
            </w:r>
          </w:p>
        </w:tc>
        <w:tc>
          <w:tcPr>
            <w:tcW w:w="932" w:type="dxa"/>
            <w:tcBorders>
              <w:top w:val="single" w:sz="4" w:space="0" w:color="000000"/>
              <w:left w:val="single" w:sz="4" w:space="0" w:color="000000"/>
              <w:bottom w:val="single" w:sz="4" w:space="0" w:color="000000"/>
              <w:right w:val="single" w:sz="4" w:space="0" w:color="000000"/>
            </w:tcBorders>
            <w:vAlign w:val="center"/>
          </w:tcPr>
          <w:p w14:paraId="7D8D6C5A" w14:textId="77777777" w:rsidR="00963AB6" w:rsidRPr="00053368" w:rsidRDefault="00724C64" w:rsidP="003E6550">
            <w:pPr>
              <w:spacing w:after="160" w:line="276" w:lineRule="auto"/>
              <w:jc w:val="center"/>
              <w:rPr>
                <w:rFonts w:cstheme="minorHAnsi"/>
              </w:rPr>
            </w:pPr>
            <w:r>
              <w:t>0.0</w:t>
            </w:r>
          </w:p>
        </w:tc>
        <w:tc>
          <w:tcPr>
            <w:tcW w:w="934" w:type="dxa"/>
            <w:tcBorders>
              <w:top w:val="single" w:sz="4" w:space="0" w:color="000000"/>
              <w:left w:val="single" w:sz="4" w:space="0" w:color="000000"/>
              <w:bottom w:val="single" w:sz="4" w:space="0" w:color="000000"/>
              <w:right w:val="single" w:sz="4" w:space="0" w:color="000000"/>
            </w:tcBorders>
            <w:vAlign w:val="center"/>
          </w:tcPr>
          <w:p w14:paraId="3582B90C" w14:textId="77777777" w:rsidR="00963AB6" w:rsidRPr="00053368" w:rsidRDefault="00724C64" w:rsidP="003E6550">
            <w:pPr>
              <w:spacing w:after="160" w:line="276" w:lineRule="auto"/>
              <w:jc w:val="center"/>
              <w:rPr>
                <w:rFonts w:cstheme="minorHAnsi"/>
              </w:rPr>
            </w:pPr>
            <w:r>
              <w:t>0.0</w:t>
            </w:r>
          </w:p>
        </w:tc>
        <w:tc>
          <w:tcPr>
            <w:tcW w:w="932" w:type="dxa"/>
            <w:tcBorders>
              <w:top w:val="single" w:sz="4" w:space="0" w:color="000000"/>
              <w:left w:val="single" w:sz="4" w:space="0" w:color="000000"/>
              <w:bottom w:val="single" w:sz="4" w:space="0" w:color="000000"/>
              <w:right w:val="single" w:sz="4" w:space="0" w:color="000000"/>
            </w:tcBorders>
            <w:vAlign w:val="center"/>
          </w:tcPr>
          <w:p w14:paraId="7301E10A" w14:textId="77777777" w:rsidR="00963AB6" w:rsidRPr="00053368" w:rsidRDefault="00724C64" w:rsidP="003E6550">
            <w:pPr>
              <w:spacing w:after="160" w:line="276" w:lineRule="auto"/>
              <w:jc w:val="center"/>
              <w:rPr>
                <w:rFonts w:cstheme="minorHAnsi"/>
              </w:rPr>
            </w:pPr>
            <w:r>
              <w:t>0.0</w:t>
            </w:r>
          </w:p>
        </w:tc>
        <w:tc>
          <w:tcPr>
            <w:tcW w:w="934" w:type="dxa"/>
            <w:tcBorders>
              <w:top w:val="single" w:sz="4" w:space="0" w:color="000000"/>
              <w:left w:val="single" w:sz="4" w:space="0" w:color="000000"/>
              <w:bottom w:val="single" w:sz="4" w:space="0" w:color="000000"/>
              <w:right w:val="single" w:sz="4" w:space="0" w:color="000000"/>
            </w:tcBorders>
            <w:vAlign w:val="center"/>
          </w:tcPr>
          <w:p w14:paraId="2A233B1D" w14:textId="77777777" w:rsidR="00963AB6" w:rsidRPr="00053368" w:rsidRDefault="00724C64" w:rsidP="003E6550">
            <w:pPr>
              <w:spacing w:after="160" w:line="276" w:lineRule="auto"/>
              <w:jc w:val="center"/>
              <w:rPr>
                <w:rFonts w:cstheme="minorHAnsi"/>
              </w:rPr>
            </w:pPr>
            <w:r>
              <w:t>0.0</w:t>
            </w:r>
          </w:p>
        </w:tc>
        <w:tc>
          <w:tcPr>
            <w:tcW w:w="932" w:type="dxa"/>
            <w:tcBorders>
              <w:top w:val="single" w:sz="4" w:space="0" w:color="000000"/>
              <w:left w:val="single" w:sz="4" w:space="0" w:color="000000"/>
              <w:bottom w:val="single" w:sz="4" w:space="0" w:color="000000"/>
              <w:right w:val="single" w:sz="4" w:space="0" w:color="000000"/>
            </w:tcBorders>
            <w:vAlign w:val="center"/>
          </w:tcPr>
          <w:p w14:paraId="249F9264" w14:textId="77777777" w:rsidR="00963AB6" w:rsidRPr="00053368" w:rsidRDefault="00724C64" w:rsidP="003E6550">
            <w:pPr>
              <w:spacing w:after="160" w:line="276" w:lineRule="auto"/>
              <w:jc w:val="center"/>
              <w:rPr>
                <w:rFonts w:cstheme="minorHAnsi"/>
              </w:rPr>
            </w:pPr>
            <w:r>
              <w:t>0.0</w:t>
            </w:r>
          </w:p>
        </w:tc>
        <w:tc>
          <w:tcPr>
            <w:tcW w:w="932" w:type="dxa"/>
            <w:tcBorders>
              <w:top w:val="single" w:sz="4" w:space="0" w:color="000000"/>
              <w:left w:val="single" w:sz="4" w:space="0" w:color="000000"/>
              <w:bottom w:val="single" w:sz="4" w:space="0" w:color="000000"/>
              <w:right w:val="single" w:sz="4" w:space="0" w:color="000000"/>
            </w:tcBorders>
            <w:vAlign w:val="center"/>
          </w:tcPr>
          <w:p w14:paraId="18BFCB6A" w14:textId="77777777" w:rsidR="00963AB6" w:rsidRPr="00053368" w:rsidRDefault="00724C64" w:rsidP="003E6550">
            <w:pPr>
              <w:spacing w:after="160" w:line="276" w:lineRule="auto"/>
              <w:jc w:val="center"/>
              <w:rPr>
                <w:rFonts w:cstheme="minorHAnsi"/>
              </w:rPr>
            </w:pPr>
            <w:r>
              <w:t>0.0</w:t>
            </w:r>
          </w:p>
        </w:tc>
        <w:tc>
          <w:tcPr>
            <w:tcW w:w="934" w:type="dxa"/>
            <w:tcBorders>
              <w:top w:val="single" w:sz="4" w:space="0" w:color="000000"/>
              <w:left w:val="single" w:sz="4" w:space="0" w:color="000000"/>
              <w:bottom w:val="single" w:sz="4" w:space="0" w:color="000000"/>
              <w:right w:val="single" w:sz="4" w:space="0" w:color="000000"/>
            </w:tcBorders>
            <w:vAlign w:val="center"/>
          </w:tcPr>
          <w:p w14:paraId="10EB671F" w14:textId="77777777" w:rsidR="00963AB6" w:rsidRPr="00053368" w:rsidRDefault="00724C64" w:rsidP="003E6550">
            <w:pPr>
              <w:spacing w:after="160" w:line="276" w:lineRule="auto"/>
              <w:jc w:val="center"/>
              <w:rPr>
                <w:rFonts w:cstheme="minorHAnsi"/>
              </w:rPr>
            </w:pPr>
            <w:r>
              <w:t>0.0</w:t>
            </w:r>
          </w:p>
        </w:tc>
        <w:tc>
          <w:tcPr>
            <w:tcW w:w="932" w:type="dxa"/>
            <w:tcBorders>
              <w:top w:val="single" w:sz="4" w:space="0" w:color="000000"/>
              <w:left w:val="single" w:sz="4" w:space="0" w:color="000000"/>
              <w:bottom w:val="single" w:sz="4" w:space="0" w:color="000000"/>
              <w:right w:val="single" w:sz="4" w:space="0" w:color="000000"/>
            </w:tcBorders>
            <w:vAlign w:val="center"/>
          </w:tcPr>
          <w:p w14:paraId="31DFB9EC" w14:textId="77777777" w:rsidR="00963AB6" w:rsidRPr="00053368" w:rsidRDefault="00724C64" w:rsidP="003E6550">
            <w:pPr>
              <w:spacing w:after="160" w:line="276" w:lineRule="auto"/>
              <w:jc w:val="center"/>
              <w:rPr>
                <w:rFonts w:cstheme="minorHAnsi"/>
              </w:rPr>
            </w:pPr>
            <w:r>
              <w:t>0.0</w:t>
            </w:r>
          </w:p>
        </w:tc>
        <w:tc>
          <w:tcPr>
            <w:tcW w:w="934" w:type="dxa"/>
            <w:tcBorders>
              <w:top w:val="single" w:sz="4" w:space="0" w:color="000000"/>
              <w:left w:val="single" w:sz="4" w:space="0" w:color="000000"/>
              <w:bottom w:val="single" w:sz="4" w:space="0" w:color="000000"/>
              <w:right w:val="single" w:sz="4" w:space="0" w:color="000000"/>
            </w:tcBorders>
            <w:vAlign w:val="center"/>
          </w:tcPr>
          <w:p w14:paraId="6EEC6C45" w14:textId="77777777" w:rsidR="00963AB6" w:rsidRPr="00053368" w:rsidRDefault="00724C64" w:rsidP="003E6550">
            <w:pPr>
              <w:spacing w:after="160" w:line="276" w:lineRule="auto"/>
              <w:jc w:val="center"/>
              <w:rPr>
                <w:rFonts w:cstheme="minorHAnsi"/>
              </w:rPr>
            </w:pPr>
            <w:r>
              <w:t>0</w:t>
            </w:r>
          </w:p>
        </w:tc>
        <w:tc>
          <w:tcPr>
            <w:tcW w:w="932" w:type="dxa"/>
            <w:tcBorders>
              <w:top w:val="single" w:sz="4" w:space="0" w:color="000000"/>
              <w:left w:val="single" w:sz="4" w:space="0" w:color="000000"/>
              <w:bottom w:val="single" w:sz="4" w:space="0" w:color="000000"/>
              <w:right w:val="single" w:sz="4" w:space="0" w:color="000000"/>
            </w:tcBorders>
            <w:vAlign w:val="center"/>
          </w:tcPr>
          <w:p w14:paraId="7F029597" w14:textId="593B42BD" w:rsidR="00963AB6" w:rsidRPr="00053368" w:rsidRDefault="0071093E" w:rsidP="003E6550">
            <w:pPr>
              <w:spacing w:after="160" w:line="276" w:lineRule="auto"/>
              <w:jc w:val="center"/>
              <w:rPr>
                <w:rFonts w:cstheme="minorHAnsi"/>
              </w:rPr>
            </w:pPr>
            <w:r>
              <w:t>1</w:t>
            </w:r>
          </w:p>
        </w:tc>
        <w:tc>
          <w:tcPr>
            <w:tcW w:w="934" w:type="dxa"/>
            <w:tcBorders>
              <w:top w:val="single" w:sz="4" w:space="0" w:color="000000"/>
              <w:left w:val="single" w:sz="4" w:space="0" w:color="000000"/>
              <w:bottom w:val="single" w:sz="4" w:space="0" w:color="000000"/>
              <w:right w:val="single" w:sz="4" w:space="0" w:color="000000"/>
            </w:tcBorders>
            <w:vAlign w:val="center"/>
          </w:tcPr>
          <w:p w14:paraId="2131ABE2" w14:textId="517C2034" w:rsidR="00963AB6" w:rsidRPr="00053368" w:rsidRDefault="0071093E" w:rsidP="003E6550">
            <w:pPr>
              <w:spacing w:after="160" w:line="276" w:lineRule="auto"/>
              <w:jc w:val="center"/>
              <w:rPr>
                <w:rFonts w:cstheme="minorHAnsi"/>
              </w:rPr>
            </w:pPr>
            <w:r>
              <w:t>6</w:t>
            </w:r>
          </w:p>
        </w:tc>
      </w:tr>
      <w:tr w:rsidR="00963AB6" w:rsidRPr="0033055B" w14:paraId="7F86D113" w14:textId="77777777" w:rsidTr="007563F9">
        <w:trPr>
          <w:trHeight w:val="464"/>
          <w:jc w:val="center"/>
        </w:trPr>
        <w:tc>
          <w:tcPr>
            <w:tcW w:w="2835" w:type="dxa"/>
            <w:tcBorders>
              <w:top w:val="single" w:sz="4" w:space="0" w:color="000000"/>
              <w:left w:val="single" w:sz="4" w:space="0" w:color="000000"/>
              <w:bottom w:val="single" w:sz="4" w:space="0" w:color="000000"/>
              <w:right w:val="single" w:sz="4" w:space="0" w:color="000000"/>
            </w:tcBorders>
            <w:vAlign w:val="center"/>
          </w:tcPr>
          <w:p w14:paraId="34F46DE3" w14:textId="77777777" w:rsidR="00963AB6" w:rsidRPr="00053368" w:rsidRDefault="00724C64" w:rsidP="003E6550">
            <w:pPr>
              <w:spacing w:after="160" w:line="276" w:lineRule="auto"/>
              <w:jc w:val="center"/>
              <w:rPr>
                <w:rFonts w:cstheme="minorHAnsi"/>
              </w:rPr>
            </w:pPr>
            <w:r>
              <w:t>Biodizel</w:t>
            </w:r>
          </w:p>
        </w:tc>
        <w:tc>
          <w:tcPr>
            <w:tcW w:w="932" w:type="dxa"/>
            <w:tcBorders>
              <w:top w:val="single" w:sz="4" w:space="0" w:color="000000"/>
              <w:left w:val="single" w:sz="4" w:space="0" w:color="000000"/>
              <w:bottom w:val="single" w:sz="4" w:space="0" w:color="000000"/>
              <w:right w:val="single" w:sz="4" w:space="0" w:color="000000"/>
            </w:tcBorders>
            <w:vAlign w:val="center"/>
          </w:tcPr>
          <w:p w14:paraId="20286BC4" w14:textId="77777777" w:rsidR="00963AB6" w:rsidRPr="00053368" w:rsidRDefault="00724C64" w:rsidP="003E6550">
            <w:pPr>
              <w:spacing w:after="160" w:line="276" w:lineRule="auto"/>
              <w:jc w:val="center"/>
              <w:rPr>
                <w:rFonts w:cstheme="minorHAnsi"/>
              </w:rPr>
            </w:pPr>
            <w:r>
              <w:t>0.0</w:t>
            </w:r>
          </w:p>
        </w:tc>
        <w:tc>
          <w:tcPr>
            <w:tcW w:w="932" w:type="dxa"/>
            <w:tcBorders>
              <w:top w:val="single" w:sz="4" w:space="0" w:color="000000"/>
              <w:left w:val="single" w:sz="4" w:space="0" w:color="000000"/>
              <w:bottom w:val="single" w:sz="4" w:space="0" w:color="000000"/>
              <w:right w:val="single" w:sz="4" w:space="0" w:color="000000"/>
            </w:tcBorders>
            <w:vAlign w:val="center"/>
          </w:tcPr>
          <w:p w14:paraId="49BB10EC" w14:textId="77777777" w:rsidR="00963AB6" w:rsidRPr="00053368" w:rsidRDefault="00724C64" w:rsidP="003E6550">
            <w:pPr>
              <w:spacing w:after="160" w:line="276" w:lineRule="auto"/>
              <w:jc w:val="center"/>
              <w:rPr>
                <w:rFonts w:cstheme="minorHAnsi"/>
              </w:rPr>
            </w:pPr>
            <w:r>
              <w:t>0.0</w:t>
            </w:r>
          </w:p>
        </w:tc>
        <w:tc>
          <w:tcPr>
            <w:tcW w:w="934" w:type="dxa"/>
            <w:tcBorders>
              <w:top w:val="single" w:sz="4" w:space="0" w:color="000000"/>
              <w:left w:val="single" w:sz="4" w:space="0" w:color="000000"/>
              <w:bottom w:val="single" w:sz="4" w:space="0" w:color="000000"/>
              <w:right w:val="single" w:sz="4" w:space="0" w:color="000000"/>
            </w:tcBorders>
            <w:vAlign w:val="center"/>
          </w:tcPr>
          <w:p w14:paraId="28851BF5" w14:textId="77777777" w:rsidR="00963AB6" w:rsidRPr="00053368" w:rsidRDefault="00724C64" w:rsidP="003E6550">
            <w:pPr>
              <w:spacing w:after="160" w:line="276" w:lineRule="auto"/>
              <w:jc w:val="center"/>
              <w:rPr>
                <w:rFonts w:cstheme="minorHAnsi"/>
              </w:rPr>
            </w:pPr>
            <w:r>
              <w:t>0.0</w:t>
            </w:r>
          </w:p>
        </w:tc>
        <w:tc>
          <w:tcPr>
            <w:tcW w:w="932" w:type="dxa"/>
            <w:tcBorders>
              <w:top w:val="single" w:sz="4" w:space="0" w:color="000000"/>
              <w:left w:val="single" w:sz="4" w:space="0" w:color="000000"/>
              <w:bottom w:val="single" w:sz="4" w:space="0" w:color="000000"/>
              <w:right w:val="single" w:sz="4" w:space="0" w:color="000000"/>
            </w:tcBorders>
            <w:vAlign w:val="center"/>
          </w:tcPr>
          <w:p w14:paraId="158E40E7" w14:textId="77777777" w:rsidR="00963AB6" w:rsidRPr="00053368" w:rsidRDefault="00724C64" w:rsidP="003E6550">
            <w:pPr>
              <w:spacing w:after="160" w:line="276" w:lineRule="auto"/>
              <w:jc w:val="center"/>
              <w:rPr>
                <w:rFonts w:cstheme="minorHAnsi"/>
              </w:rPr>
            </w:pPr>
            <w:r>
              <w:t>0.0</w:t>
            </w:r>
          </w:p>
        </w:tc>
        <w:tc>
          <w:tcPr>
            <w:tcW w:w="934" w:type="dxa"/>
            <w:tcBorders>
              <w:top w:val="single" w:sz="4" w:space="0" w:color="000000"/>
              <w:left w:val="single" w:sz="4" w:space="0" w:color="000000"/>
              <w:bottom w:val="single" w:sz="4" w:space="0" w:color="000000"/>
              <w:right w:val="single" w:sz="4" w:space="0" w:color="000000"/>
            </w:tcBorders>
            <w:vAlign w:val="center"/>
          </w:tcPr>
          <w:p w14:paraId="0D5C888E" w14:textId="77777777" w:rsidR="00963AB6" w:rsidRPr="00053368" w:rsidRDefault="00724C64" w:rsidP="003E6550">
            <w:pPr>
              <w:spacing w:after="160" w:line="276" w:lineRule="auto"/>
              <w:jc w:val="center"/>
              <w:rPr>
                <w:rFonts w:cstheme="minorHAnsi"/>
              </w:rPr>
            </w:pPr>
            <w:r>
              <w:t>0.0</w:t>
            </w:r>
          </w:p>
        </w:tc>
        <w:tc>
          <w:tcPr>
            <w:tcW w:w="932" w:type="dxa"/>
            <w:tcBorders>
              <w:top w:val="single" w:sz="4" w:space="0" w:color="000000"/>
              <w:left w:val="single" w:sz="4" w:space="0" w:color="000000"/>
              <w:bottom w:val="single" w:sz="4" w:space="0" w:color="000000"/>
              <w:right w:val="single" w:sz="4" w:space="0" w:color="000000"/>
            </w:tcBorders>
            <w:vAlign w:val="center"/>
          </w:tcPr>
          <w:p w14:paraId="31EF70A0" w14:textId="77777777" w:rsidR="00963AB6" w:rsidRPr="00053368" w:rsidRDefault="00724C64" w:rsidP="003E6550">
            <w:pPr>
              <w:spacing w:after="160" w:line="276" w:lineRule="auto"/>
              <w:jc w:val="center"/>
              <w:rPr>
                <w:rFonts w:cstheme="minorHAnsi"/>
              </w:rPr>
            </w:pPr>
            <w:r>
              <w:t>0.0</w:t>
            </w:r>
          </w:p>
        </w:tc>
        <w:tc>
          <w:tcPr>
            <w:tcW w:w="932" w:type="dxa"/>
            <w:tcBorders>
              <w:top w:val="single" w:sz="4" w:space="0" w:color="000000"/>
              <w:left w:val="single" w:sz="4" w:space="0" w:color="000000"/>
              <w:bottom w:val="single" w:sz="4" w:space="0" w:color="000000"/>
              <w:right w:val="single" w:sz="4" w:space="0" w:color="000000"/>
            </w:tcBorders>
            <w:vAlign w:val="center"/>
          </w:tcPr>
          <w:p w14:paraId="49C07713" w14:textId="77777777" w:rsidR="00963AB6" w:rsidRPr="00053368" w:rsidRDefault="00724C64" w:rsidP="003E6550">
            <w:pPr>
              <w:spacing w:after="160" w:line="276" w:lineRule="auto"/>
              <w:jc w:val="center"/>
              <w:rPr>
                <w:rFonts w:cstheme="minorHAnsi"/>
              </w:rPr>
            </w:pPr>
            <w:r>
              <w:t>0.0</w:t>
            </w:r>
          </w:p>
        </w:tc>
        <w:tc>
          <w:tcPr>
            <w:tcW w:w="934" w:type="dxa"/>
            <w:tcBorders>
              <w:top w:val="single" w:sz="4" w:space="0" w:color="000000"/>
              <w:left w:val="single" w:sz="4" w:space="0" w:color="000000"/>
              <w:bottom w:val="single" w:sz="4" w:space="0" w:color="000000"/>
              <w:right w:val="single" w:sz="4" w:space="0" w:color="000000"/>
            </w:tcBorders>
            <w:vAlign w:val="center"/>
          </w:tcPr>
          <w:p w14:paraId="77A502A5" w14:textId="77777777" w:rsidR="00963AB6" w:rsidRPr="00053368" w:rsidRDefault="00724C64" w:rsidP="003E6550">
            <w:pPr>
              <w:spacing w:after="160" w:line="276" w:lineRule="auto"/>
              <w:jc w:val="center"/>
              <w:rPr>
                <w:rFonts w:cstheme="minorHAnsi"/>
              </w:rPr>
            </w:pPr>
            <w:r>
              <w:t>0.0</w:t>
            </w:r>
          </w:p>
        </w:tc>
        <w:tc>
          <w:tcPr>
            <w:tcW w:w="932" w:type="dxa"/>
            <w:tcBorders>
              <w:top w:val="single" w:sz="4" w:space="0" w:color="000000"/>
              <w:left w:val="single" w:sz="4" w:space="0" w:color="000000"/>
              <w:bottom w:val="single" w:sz="4" w:space="0" w:color="000000"/>
              <w:right w:val="single" w:sz="4" w:space="0" w:color="000000"/>
            </w:tcBorders>
            <w:vAlign w:val="center"/>
          </w:tcPr>
          <w:p w14:paraId="10635F9E" w14:textId="77777777" w:rsidR="00963AB6" w:rsidRPr="00053368" w:rsidRDefault="00724C64" w:rsidP="003E6550">
            <w:pPr>
              <w:spacing w:after="160" w:line="276" w:lineRule="auto"/>
              <w:jc w:val="center"/>
              <w:rPr>
                <w:rFonts w:cstheme="minorHAnsi"/>
              </w:rPr>
            </w:pPr>
            <w:r>
              <w:t>0.0</w:t>
            </w:r>
          </w:p>
        </w:tc>
        <w:tc>
          <w:tcPr>
            <w:tcW w:w="934" w:type="dxa"/>
            <w:tcBorders>
              <w:top w:val="single" w:sz="4" w:space="0" w:color="000000"/>
              <w:left w:val="single" w:sz="4" w:space="0" w:color="000000"/>
              <w:bottom w:val="single" w:sz="4" w:space="0" w:color="000000"/>
              <w:right w:val="single" w:sz="4" w:space="0" w:color="000000"/>
            </w:tcBorders>
            <w:vAlign w:val="center"/>
          </w:tcPr>
          <w:p w14:paraId="4F57E49F" w14:textId="21EC590A" w:rsidR="00963AB6" w:rsidRPr="00053368" w:rsidRDefault="00C10B0C" w:rsidP="003E6550">
            <w:pPr>
              <w:spacing w:after="160" w:line="276" w:lineRule="auto"/>
              <w:jc w:val="center"/>
              <w:rPr>
                <w:rFonts w:cstheme="minorHAnsi"/>
              </w:rPr>
            </w:pPr>
            <w:r>
              <w:t>0.0</w:t>
            </w:r>
          </w:p>
        </w:tc>
        <w:tc>
          <w:tcPr>
            <w:tcW w:w="932" w:type="dxa"/>
            <w:tcBorders>
              <w:top w:val="single" w:sz="4" w:space="0" w:color="000000"/>
              <w:left w:val="single" w:sz="4" w:space="0" w:color="000000"/>
              <w:bottom w:val="single" w:sz="4" w:space="0" w:color="000000"/>
              <w:right w:val="single" w:sz="4" w:space="0" w:color="000000"/>
            </w:tcBorders>
            <w:vAlign w:val="center"/>
          </w:tcPr>
          <w:p w14:paraId="79EA98C0" w14:textId="77777777" w:rsidR="00963AB6" w:rsidRPr="00053368" w:rsidRDefault="00724C64" w:rsidP="003E6550">
            <w:pPr>
              <w:spacing w:after="160" w:line="276" w:lineRule="auto"/>
              <w:jc w:val="center"/>
              <w:rPr>
                <w:rFonts w:cstheme="minorHAnsi"/>
              </w:rPr>
            </w:pPr>
            <w:r>
              <w:t>18.5</w:t>
            </w:r>
          </w:p>
        </w:tc>
        <w:tc>
          <w:tcPr>
            <w:tcW w:w="934" w:type="dxa"/>
            <w:tcBorders>
              <w:top w:val="single" w:sz="4" w:space="0" w:color="000000"/>
              <w:left w:val="single" w:sz="4" w:space="0" w:color="000000"/>
              <w:bottom w:val="single" w:sz="4" w:space="0" w:color="000000"/>
              <w:right w:val="single" w:sz="4" w:space="0" w:color="000000"/>
            </w:tcBorders>
            <w:vAlign w:val="center"/>
          </w:tcPr>
          <w:p w14:paraId="37F2FAA8" w14:textId="77777777" w:rsidR="00963AB6" w:rsidRPr="00053368" w:rsidRDefault="00724C64" w:rsidP="003E6550">
            <w:pPr>
              <w:spacing w:after="160" w:line="276" w:lineRule="auto"/>
              <w:jc w:val="center"/>
              <w:rPr>
                <w:rFonts w:cstheme="minorHAnsi"/>
              </w:rPr>
            </w:pPr>
            <w:r>
              <w:t>33.7</w:t>
            </w:r>
          </w:p>
        </w:tc>
      </w:tr>
      <w:tr w:rsidR="00963AB6" w:rsidRPr="0033055B" w14:paraId="17EB74C7" w14:textId="77777777" w:rsidTr="007563F9">
        <w:trPr>
          <w:trHeight w:val="553"/>
          <w:jc w:val="center"/>
        </w:trPr>
        <w:tc>
          <w:tcPr>
            <w:tcW w:w="2835" w:type="dxa"/>
            <w:tcBorders>
              <w:top w:val="single" w:sz="4" w:space="0" w:color="000000"/>
              <w:left w:val="single" w:sz="4" w:space="0" w:color="000000"/>
              <w:bottom w:val="single" w:sz="4" w:space="0" w:color="000000"/>
              <w:right w:val="single" w:sz="4" w:space="0" w:color="000000"/>
            </w:tcBorders>
          </w:tcPr>
          <w:p w14:paraId="720FC221" w14:textId="77777777" w:rsidR="00963AB6" w:rsidRPr="00053368" w:rsidRDefault="00724C64" w:rsidP="007563F9">
            <w:pPr>
              <w:spacing w:after="70" w:line="259" w:lineRule="auto"/>
              <w:jc w:val="center"/>
              <w:rPr>
                <w:rFonts w:cstheme="minorHAnsi"/>
              </w:rPr>
            </w:pPr>
            <w:r>
              <w:t>Prej të cilave bio-lëndë  neni 21(2)</w:t>
            </w:r>
          </w:p>
        </w:tc>
        <w:tc>
          <w:tcPr>
            <w:tcW w:w="932" w:type="dxa"/>
            <w:tcBorders>
              <w:top w:val="single" w:sz="4" w:space="0" w:color="000000"/>
              <w:left w:val="single" w:sz="4" w:space="0" w:color="000000"/>
              <w:bottom w:val="single" w:sz="4" w:space="0" w:color="000000"/>
              <w:right w:val="single" w:sz="4" w:space="0" w:color="000000"/>
            </w:tcBorders>
            <w:vAlign w:val="center"/>
          </w:tcPr>
          <w:p w14:paraId="6197727C" w14:textId="77777777" w:rsidR="00963AB6" w:rsidRPr="00053368" w:rsidRDefault="00724C64" w:rsidP="003E6550">
            <w:pPr>
              <w:spacing w:after="160" w:line="276" w:lineRule="auto"/>
              <w:jc w:val="center"/>
              <w:rPr>
                <w:rFonts w:cstheme="minorHAnsi"/>
              </w:rPr>
            </w:pPr>
            <w:r>
              <w:t>0.0</w:t>
            </w:r>
          </w:p>
        </w:tc>
        <w:tc>
          <w:tcPr>
            <w:tcW w:w="932" w:type="dxa"/>
            <w:tcBorders>
              <w:top w:val="single" w:sz="4" w:space="0" w:color="000000"/>
              <w:left w:val="single" w:sz="4" w:space="0" w:color="000000"/>
              <w:bottom w:val="single" w:sz="4" w:space="0" w:color="000000"/>
              <w:right w:val="single" w:sz="4" w:space="0" w:color="000000"/>
            </w:tcBorders>
            <w:vAlign w:val="center"/>
          </w:tcPr>
          <w:p w14:paraId="0A0FDAB0" w14:textId="77777777" w:rsidR="00963AB6" w:rsidRPr="00053368" w:rsidRDefault="00724C64" w:rsidP="003E6550">
            <w:pPr>
              <w:spacing w:after="160" w:line="276" w:lineRule="auto"/>
              <w:jc w:val="center"/>
              <w:rPr>
                <w:rFonts w:cstheme="minorHAnsi"/>
              </w:rPr>
            </w:pPr>
            <w:r>
              <w:t>0.0</w:t>
            </w:r>
          </w:p>
        </w:tc>
        <w:tc>
          <w:tcPr>
            <w:tcW w:w="934" w:type="dxa"/>
            <w:tcBorders>
              <w:top w:val="single" w:sz="4" w:space="0" w:color="000000"/>
              <w:left w:val="single" w:sz="4" w:space="0" w:color="000000"/>
              <w:bottom w:val="single" w:sz="4" w:space="0" w:color="000000"/>
              <w:right w:val="single" w:sz="4" w:space="0" w:color="000000"/>
            </w:tcBorders>
            <w:vAlign w:val="center"/>
          </w:tcPr>
          <w:p w14:paraId="1D454B09" w14:textId="77777777" w:rsidR="00963AB6" w:rsidRPr="00053368" w:rsidRDefault="00724C64" w:rsidP="003E6550">
            <w:pPr>
              <w:spacing w:after="160" w:line="276" w:lineRule="auto"/>
              <w:jc w:val="center"/>
              <w:rPr>
                <w:rFonts w:cstheme="minorHAnsi"/>
              </w:rPr>
            </w:pPr>
            <w:r>
              <w:t>0.0</w:t>
            </w:r>
          </w:p>
        </w:tc>
        <w:tc>
          <w:tcPr>
            <w:tcW w:w="932" w:type="dxa"/>
            <w:tcBorders>
              <w:top w:val="single" w:sz="4" w:space="0" w:color="000000"/>
              <w:left w:val="single" w:sz="4" w:space="0" w:color="000000"/>
              <w:bottom w:val="single" w:sz="4" w:space="0" w:color="000000"/>
              <w:right w:val="single" w:sz="4" w:space="0" w:color="000000"/>
            </w:tcBorders>
            <w:vAlign w:val="center"/>
          </w:tcPr>
          <w:p w14:paraId="065C5B7C" w14:textId="77777777" w:rsidR="00963AB6" w:rsidRPr="00053368" w:rsidRDefault="00724C64" w:rsidP="003E6550">
            <w:pPr>
              <w:spacing w:after="160" w:line="276" w:lineRule="auto"/>
              <w:jc w:val="center"/>
              <w:rPr>
                <w:rFonts w:cstheme="minorHAnsi"/>
              </w:rPr>
            </w:pPr>
            <w:r>
              <w:t>0.0</w:t>
            </w:r>
          </w:p>
        </w:tc>
        <w:tc>
          <w:tcPr>
            <w:tcW w:w="934" w:type="dxa"/>
            <w:tcBorders>
              <w:top w:val="single" w:sz="4" w:space="0" w:color="000000"/>
              <w:left w:val="single" w:sz="4" w:space="0" w:color="000000"/>
              <w:bottom w:val="single" w:sz="4" w:space="0" w:color="000000"/>
              <w:right w:val="single" w:sz="4" w:space="0" w:color="000000"/>
            </w:tcBorders>
            <w:vAlign w:val="center"/>
          </w:tcPr>
          <w:p w14:paraId="202E54E7" w14:textId="77777777" w:rsidR="00963AB6" w:rsidRPr="00053368" w:rsidRDefault="00724C64" w:rsidP="003E6550">
            <w:pPr>
              <w:spacing w:after="160" w:line="276" w:lineRule="auto"/>
              <w:jc w:val="center"/>
              <w:rPr>
                <w:rFonts w:cstheme="minorHAnsi"/>
              </w:rPr>
            </w:pPr>
            <w:r>
              <w:t>0.0</w:t>
            </w:r>
          </w:p>
        </w:tc>
        <w:tc>
          <w:tcPr>
            <w:tcW w:w="932" w:type="dxa"/>
            <w:tcBorders>
              <w:top w:val="single" w:sz="4" w:space="0" w:color="000000"/>
              <w:left w:val="single" w:sz="4" w:space="0" w:color="000000"/>
              <w:bottom w:val="single" w:sz="4" w:space="0" w:color="000000"/>
              <w:right w:val="single" w:sz="4" w:space="0" w:color="000000"/>
            </w:tcBorders>
            <w:vAlign w:val="center"/>
          </w:tcPr>
          <w:p w14:paraId="2C7BE5E1" w14:textId="77777777" w:rsidR="00963AB6" w:rsidRPr="00053368" w:rsidRDefault="00724C64" w:rsidP="003E6550">
            <w:pPr>
              <w:spacing w:after="160" w:line="276" w:lineRule="auto"/>
              <w:jc w:val="center"/>
              <w:rPr>
                <w:rFonts w:cstheme="minorHAnsi"/>
              </w:rPr>
            </w:pPr>
            <w:r>
              <w:t>0.0</w:t>
            </w:r>
          </w:p>
        </w:tc>
        <w:tc>
          <w:tcPr>
            <w:tcW w:w="932" w:type="dxa"/>
            <w:tcBorders>
              <w:top w:val="single" w:sz="4" w:space="0" w:color="000000"/>
              <w:left w:val="single" w:sz="4" w:space="0" w:color="000000"/>
              <w:bottom w:val="single" w:sz="4" w:space="0" w:color="000000"/>
              <w:right w:val="single" w:sz="4" w:space="0" w:color="000000"/>
            </w:tcBorders>
            <w:vAlign w:val="center"/>
          </w:tcPr>
          <w:p w14:paraId="282EB8EA" w14:textId="77777777" w:rsidR="00963AB6" w:rsidRPr="00053368" w:rsidRDefault="00724C64" w:rsidP="003E6550">
            <w:pPr>
              <w:spacing w:after="160" w:line="276" w:lineRule="auto"/>
              <w:jc w:val="center"/>
              <w:rPr>
                <w:rFonts w:cstheme="minorHAnsi"/>
              </w:rPr>
            </w:pPr>
            <w:r>
              <w:t>0.0</w:t>
            </w:r>
          </w:p>
        </w:tc>
        <w:tc>
          <w:tcPr>
            <w:tcW w:w="934" w:type="dxa"/>
            <w:tcBorders>
              <w:top w:val="single" w:sz="4" w:space="0" w:color="000000"/>
              <w:left w:val="single" w:sz="4" w:space="0" w:color="000000"/>
              <w:bottom w:val="single" w:sz="4" w:space="0" w:color="000000"/>
              <w:right w:val="single" w:sz="4" w:space="0" w:color="000000"/>
            </w:tcBorders>
            <w:vAlign w:val="center"/>
          </w:tcPr>
          <w:p w14:paraId="2378AA1F" w14:textId="77777777" w:rsidR="00963AB6" w:rsidRPr="00053368" w:rsidRDefault="00724C64" w:rsidP="003E6550">
            <w:pPr>
              <w:spacing w:after="160" w:line="276" w:lineRule="auto"/>
              <w:jc w:val="center"/>
              <w:rPr>
                <w:rFonts w:cstheme="minorHAnsi"/>
              </w:rPr>
            </w:pPr>
            <w:r>
              <w:t>0.0</w:t>
            </w:r>
          </w:p>
        </w:tc>
        <w:tc>
          <w:tcPr>
            <w:tcW w:w="932" w:type="dxa"/>
            <w:tcBorders>
              <w:top w:val="single" w:sz="4" w:space="0" w:color="000000"/>
              <w:left w:val="single" w:sz="4" w:space="0" w:color="000000"/>
              <w:bottom w:val="single" w:sz="4" w:space="0" w:color="000000"/>
              <w:right w:val="single" w:sz="4" w:space="0" w:color="000000"/>
            </w:tcBorders>
            <w:vAlign w:val="center"/>
          </w:tcPr>
          <w:p w14:paraId="67233B2E" w14:textId="77777777" w:rsidR="00963AB6" w:rsidRPr="00053368" w:rsidRDefault="00724C64" w:rsidP="003E6550">
            <w:pPr>
              <w:spacing w:after="160" w:line="276" w:lineRule="auto"/>
              <w:jc w:val="center"/>
              <w:rPr>
                <w:rFonts w:cstheme="minorHAnsi"/>
              </w:rPr>
            </w:pPr>
            <w:r>
              <w:t>0.0</w:t>
            </w:r>
          </w:p>
        </w:tc>
        <w:tc>
          <w:tcPr>
            <w:tcW w:w="934" w:type="dxa"/>
            <w:tcBorders>
              <w:top w:val="single" w:sz="4" w:space="0" w:color="000000"/>
              <w:left w:val="single" w:sz="4" w:space="0" w:color="000000"/>
              <w:bottom w:val="single" w:sz="4" w:space="0" w:color="000000"/>
              <w:right w:val="single" w:sz="4" w:space="0" w:color="000000"/>
            </w:tcBorders>
            <w:vAlign w:val="center"/>
          </w:tcPr>
          <w:p w14:paraId="4DA23E55" w14:textId="77777777" w:rsidR="00963AB6" w:rsidRPr="00053368" w:rsidRDefault="00724C64" w:rsidP="003E6550">
            <w:pPr>
              <w:spacing w:after="160" w:line="276" w:lineRule="auto"/>
              <w:jc w:val="center"/>
              <w:rPr>
                <w:rFonts w:cstheme="minorHAnsi"/>
              </w:rPr>
            </w:pPr>
            <w:r>
              <w:t>0.0</w:t>
            </w:r>
          </w:p>
        </w:tc>
        <w:tc>
          <w:tcPr>
            <w:tcW w:w="932" w:type="dxa"/>
            <w:tcBorders>
              <w:top w:val="single" w:sz="4" w:space="0" w:color="000000"/>
              <w:left w:val="single" w:sz="4" w:space="0" w:color="000000"/>
              <w:bottom w:val="single" w:sz="4" w:space="0" w:color="000000"/>
              <w:right w:val="single" w:sz="4" w:space="0" w:color="000000"/>
            </w:tcBorders>
            <w:vAlign w:val="center"/>
          </w:tcPr>
          <w:p w14:paraId="643E2EEC" w14:textId="77777777" w:rsidR="00963AB6" w:rsidRPr="00053368" w:rsidRDefault="00724C64" w:rsidP="003E6550">
            <w:pPr>
              <w:spacing w:after="160" w:line="276" w:lineRule="auto"/>
              <w:jc w:val="center"/>
              <w:rPr>
                <w:rFonts w:cstheme="minorHAnsi"/>
              </w:rPr>
            </w:pPr>
            <w:r>
              <w:t>0.0</w:t>
            </w:r>
          </w:p>
        </w:tc>
        <w:tc>
          <w:tcPr>
            <w:tcW w:w="934" w:type="dxa"/>
            <w:tcBorders>
              <w:top w:val="single" w:sz="4" w:space="0" w:color="000000"/>
              <w:left w:val="single" w:sz="4" w:space="0" w:color="000000"/>
              <w:bottom w:val="single" w:sz="4" w:space="0" w:color="000000"/>
              <w:right w:val="single" w:sz="4" w:space="0" w:color="000000"/>
            </w:tcBorders>
            <w:vAlign w:val="center"/>
          </w:tcPr>
          <w:p w14:paraId="409B1117" w14:textId="77777777" w:rsidR="00963AB6" w:rsidRPr="00053368" w:rsidRDefault="00724C64" w:rsidP="003E6550">
            <w:pPr>
              <w:spacing w:after="160" w:line="276" w:lineRule="auto"/>
              <w:jc w:val="center"/>
              <w:rPr>
                <w:rFonts w:cstheme="minorHAnsi"/>
              </w:rPr>
            </w:pPr>
            <w:r>
              <w:t>0.0</w:t>
            </w:r>
          </w:p>
        </w:tc>
      </w:tr>
      <w:tr w:rsidR="00963AB6" w:rsidRPr="0033055B" w14:paraId="2C9D8213" w14:textId="77777777" w:rsidTr="007563F9">
        <w:trPr>
          <w:trHeight w:val="463"/>
          <w:jc w:val="center"/>
        </w:trPr>
        <w:tc>
          <w:tcPr>
            <w:tcW w:w="2835" w:type="dxa"/>
            <w:tcBorders>
              <w:top w:val="single" w:sz="4" w:space="0" w:color="000000"/>
              <w:left w:val="single" w:sz="4" w:space="0" w:color="000000"/>
              <w:bottom w:val="single" w:sz="4" w:space="0" w:color="000000"/>
              <w:right w:val="single" w:sz="4" w:space="0" w:color="000000"/>
            </w:tcBorders>
            <w:vAlign w:val="center"/>
          </w:tcPr>
          <w:p w14:paraId="3EEBAC77" w14:textId="77777777" w:rsidR="00963AB6" w:rsidRPr="00053368" w:rsidRDefault="00724C64" w:rsidP="003E6550">
            <w:pPr>
              <w:spacing w:after="160" w:line="276" w:lineRule="auto"/>
              <w:jc w:val="center"/>
              <w:rPr>
                <w:rFonts w:cstheme="minorHAnsi"/>
              </w:rPr>
            </w:pPr>
            <w:r>
              <w:t>Prej të cilave të importuara</w:t>
            </w:r>
          </w:p>
        </w:tc>
        <w:tc>
          <w:tcPr>
            <w:tcW w:w="932" w:type="dxa"/>
            <w:tcBorders>
              <w:top w:val="single" w:sz="4" w:space="0" w:color="000000"/>
              <w:left w:val="single" w:sz="4" w:space="0" w:color="000000"/>
              <w:bottom w:val="single" w:sz="4" w:space="0" w:color="000000"/>
              <w:right w:val="single" w:sz="4" w:space="0" w:color="000000"/>
            </w:tcBorders>
            <w:vAlign w:val="center"/>
          </w:tcPr>
          <w:p w14:paraId="72443794" w14:textId="77777777" w:rsidR="00963AB6" w:rsidRPr="00053368" w:rsidRDefault="00724C64" w:rsidP="003E6550">
            <w:pPr>
              <w:spacing w:after="160" w:line="276" w:lineRule="auto"/>
              <w:jc w:val="center"/>
              <w:rPr>
                <w:rFonts w:cstheme="minorHAnsi"/>
              </w:rPr>
            </w:pPr>
            <w:r>
              <w:t>0.0</w:t>
            </w:r>
          </w:p>
        </w:tc>
        <w:tc>
          <w:tcPr>
            <w:tcW w:w="932" w:type="dxa"/>
            <w:tcBorders>
              <w:top w:val="single" w:sz="4" w:space="0" w:color="000000"/>
              <w:left w:val="single" w:sz="4" w:space="0" w:color="000000"/>
              <w:bottom w:val="single" w:sz="4" w:space="0" w:color="000000"/>
              <w:right w:val="single" w:sz="4" w:space="0" w:color="000000"/>
            </w:tcBorders>
            <w:vAlign w:val="center"/>
          </w:tcPr>
          <w:p w14:paraId="3E152D9D" w14:textId="77777777" w:rsidR="00963AB6" w:rsidRPr="00053368" w:rsidRDefault="00724C64" w:rsidP="003E6550">
            <w:pPr>
              <w:spacing w:after="160" w:line="276" w:lineRule="auto"/>
              <w:jc w:val="center"/>
              <w:rPr>
                <w:rFonts w:cstheme="minorHAnsi"/>
              </w:rPr>
            </w:pPr>
            <w:r>
              <w:t>0.0</w:t>
            </w:r>
          </w:p>
        </w:tc>
        <w:tc>
          <w:tcPr>
            <w:tcW w:w="934" w:type="dxa"/>
            <w:tcBorders>
              <w:top w:val="single" w:sz="4" w:space="0" w:color="000000"/>
              <w:left w:val="single" w:sz="4" w:space="0" w:color="000000"/>
              <w:bottom w:val="single" w:sz="4" w:space="0" w:color="000000"/>
              <w:right w:val="single" w:sz="4" w:space="0" w:color="000000"/>
            </w:tcBorders>
            <w:vAlign w:val="center"/>
          </w:tcPr>
          <w:p w14:paraId="4D83BBD2" w14:textId="77777777" w:rsidR="00963AB6" w:rsidRPr="00053368" w:rsidRDefault="00724C64" w:rsidP="003E6550">
            <w:pPr>
              <w:spacing w:after="160" w:line="276" w:lineRule="auto"/>
              <w:jc w:val="center"/>
              <w:rPr>
                <w:rFonts w:cstheme="minorHAnsi"/>
              </w:rPr>
            </w:pPr>
            <w:r>
              <w:t>0.0</w:t>
            </w:r>
          </w:p>
        </w:tc>
        <w:tc>
          <w:tcPr>
            <w:tcW w:w="932" w:type="dxa"/>
            <w:tcBorders>
              <w:top w:val="single" w:sz="4" w:space="0" w:color="000000"/>
              <w:left w:val="single" w:sz="4" w:space="0" w:color="000000"/>
              <w:bottom w:val="single" w:sz="4" w:space="0" w:color="000000"/>
              <w:right w:val="single" w:sz="4" w:space="0" w:color="000000"/>
            </w:tcBorders>
            <w:vAlign w:val="center"/>
          </w:tcPr>
          <w:p w14:paraId="51C954AF" w14:textId="77777777" w:rsidR="00963AB6" w:rsidRPr="00053368" w:rsidRDefault="00724C64" w:rsidP="003E6550">
            <w:pPr>
              <w:spacing w:after="160" w:line="276" w:lineRule="auto"/>
              <w:jc w:val="center"/>
              <w:rPr>
                <w:rFonts w:cstheme="minorHAnsi"/>
              </w:rPr>
            </w:pPr>
            <w:r>
              <w:t>0.0</w:t>
            </w:r>
          </w:p>
        </w:tc>
        <w:tc>
          <w:tcPr>
            <w:tcW w:w="934" w:type="dxa"/>
            <w:tcBorders>
              <w:top w:val="single" w:sz="4" w:space="0" w:color="000000"/>
              <w:left w:val="single" w:sz="4" w:space="0" w:color="000000"/>
              <w:bottom w:val="single" w:sz="4" w:space="0" w:color="000000"/>
              <w:right w:val="single" w:sz="4" w:space="0" w:color="000000"/>
            </w:tcBorders>
            <w:vAlign w:val="center"/>
          </w:tcPr>
          <w:p w14:paraId="33C29EE8" w14:textId="77777777" w:rsidR="00963AB6" w:rsidRPr="00053368" w:rsidRDefault="00724C64" w:rsidP="003E6550">
            <w:pPr>
              <w:spacing w:after="160" w:line="276" w:lineRule="auto"/>
              <w:jc w:val="center"/>
              <w:rPr>
                <w:rFonts w:cstheme="minorHAnsi"/>
              </w:rPr>
            </w:pPr>
            <w:r>
              <w:t>0.0</w:t>
            </w:r>
          </w:p>
        </w:tc>
        <w:tc>
          <w:tcPr>
            <w:tcW w:w="932" w:type="dxa"/>
            <w:tcBorders>
              <w:top w:val="single" w:sz="4" w:space="0" w:color="000000"/>
              <w:left w:val="single" w:sz="4" w:space="0" w:color="000000"/>
              <w:bottom w:val="single" w:sz="4" w:space="0" w:color="000000"/>
              <w:right w:val="single" w:sz="4" w:space="0" w:color="000000"/>
            </w:tcBorders>
            <w:vAlign w:val="center"/>
          </w:tcPr>
          <w:p w14:paraId="4C57023F" w14:textId="77777777" w:rsidR="00963AB6" w:rsidRPr="00053368" w:rsidRDefault="00724C64" w:rsidP="003E6550">
            <w:pPr>
              <w:spacing w:after="160" w:line="276" w:lineRule="auto"/>
              <w:jc w:val="center"/>
              <w:rPr>
                <w:rFonts w:cstheme="minorHAnsi"/>
              </w:rPr>
            </w:pPr>
            <w:r>
              <w:t>0.0</w:t>
            </w:r>
          </w:p>
        </w:tc>
        <w:tc>
          <w:tcPr>
            <w:tcW w:w="932" w:type="dxa"/>
            <w:tcBorders>
              <w:top w:val="single" w:sz="4" w:space="0" w:color="000000"/>
              <w:left w:val="single" w:sz="4" w:space="0" w:color="000000"/>
              <w:bottom w:val="single" w:sz="4" w:space="0" w:color="000000"/>
              <w:right w:val="single" w:sz="4" w:space="0" w:color="000000"/>
            </w:tcBorders>
            <w:vAlign w:val="center"/>
          </w:tcPr>
          <w:p w14:paraId="40FE0E2B" w14:textId="77777777" w:rsidR="00963AB6" w:rsidRPr="00053368" w:rsidRDefault="00724C64" w:rsidP="003E6550">
            <w:pPr>
              <w:spacing w:after="160" w:line="276" w:lineRule="auto"/>
              <w:jc w:val="center"/>
              <w:rPr>
                <w:rFonts w:cstheme="minorHAnsi"/>
              </w:rPr>
            </w:pPr>
            <w:r>
              <w:t>0.0</w:t>
            </w:r>
          </w:p>
        </w:tc>
        <w:tc>
          <w:tcPr>
            <w:tcW w:w="934" w:type="dxa"/>
            <w:tcBorders>
              <w:top w:val="single" w:sz="4" w:space="0" w:color="000000"/>
              <w:left w:val="single" w:sz="4" w:space="0" w:color="000000"/>
              <w:bottom w:val="single" w:sz="4" w:space="0" w:color="000000"/>
              <w:right w:val="single" w:sz="4" w:space="0" w:color="000000"/>
            </w:tcBorders>
            <w:vAlign w:val="center"/>
          </w:tcPr>
          <w:p w14:paraId="6D7254F2" w14:textId="77777777" w:rsidR="00963AB6" w:rsidRPr="00053368" w:rsidRDefault="00724C64" w:rsidP="003E6550">
            <w:pPr>
              <w:spacing w:after="160" w:line="276" w:lineRule="auto"/>
              <w:jc w:val="center"/>
              <w:rPr>
                <w:rFonts w:cstheme="minorHAnsi"/>
              </w:rPr>
            </w:pPr>
            <w:r>
              <w:t>0.0</w:t>
            </w:r>
          </w:p>
        </w:tc>
        <w:tc>
          <w:tcPr>
            <w:tcW w:w="932" w:type="dxa"/>
            <w:tcBorders>
              <w:top w:val="single" w:sz="4" w:space="0" w:color="000000"/>
              <w:left w:val="single" w:sz="4" w:space="0" w:color="000000"/>
              <w:bottom w:val="single" w:sz="4" w:space="0" w:color="000000"/>
              <w:right w:val="single" w:sz="4" w:space="0" w:color="000000"/>
            </w:tcBorders>
            <w:vAlign w:val="center"/>
          </w:tcPr>
          <w:p w14:paraId="5631B323" w14:textId="77777777" w:rsidR="00963AB6" w:rsidRPr="00053368" w:rsidRDefault="00724C64" w:rsidP="003E6550">
            <w:pPr>
              <w:spacing w:after="160" w:line="276" w:lineRule="auto"/>
              <w:jc w:val="center"/>
              <w:rPr>
                <w:rFonts w:cstheme="minorHAnsi"/>
              </w:rPr>
            </w:pPr>
            <w:r>
              <w:t>0.0</w:t>
            </w:r>
          </w:p>
        </w:tc>
        <w:tc>
          <w:tcPr>
            <w:tcW w:w="934" w:type="dxa"/>
            <w:tcBorders>
              <w:top w:val="single" w:sz="4" w:space="0" w:color="000000"/>
              <w:left w:val="single" w:sz="4" w:space="0" w:color="000000"/>
              <w:bottom w:val="single" w:sz="4" w:space="0" w:color="000000"/>
              <w:right w:val="single" w:sz="4" w:space="0" w:color="000000"/>
            </w:tcBorders>
            <w:vAlign w:val="center"/>
          </w:tcPr>
          <w:p w14:paraId="4BB21CDB" w14:textId="03208890" w:rsidR="00963AB6" w:rsidRPr="00053368" w:rsidRDefault="00C10B0C" w:rsidP="003E6550">
            <w:pPr>
              <w:spacing w:after="160" w:line="276" w:lineRule="auto"/>
              <w:jc w:val="center"/>
              <w:rPr>
                <w:rFonts w:cstheme="minorHAnsi"/>
              </w:rPr>
            </w:pPr>
            <w:r>
              <w:t>0</w:t>
            </w:r>
          </w:p>
        </w:tc>
        <w:tc>
          <w:tcPr>
            <w:tcW w:w="932" w:type="dxa"/>
            <w:tcBorders>
              <w:top w:val="single" w:sz="4" w:space="0" w:color="000000"/>
              <w:left w:val="single" w:sz="4" w:space="0" w:color="000000"/>
              <w:bottom w:val="single" w:sz="4" w:space="0" w:color="000000"/>
              <w:right w:val="single" w:sz="4" w:space="0" w:color="000000"/>
            </w:tcBorders>
            <w:vAlign w:val="center"/>
          </w:tcPr>
          <w:p w14:paraId="0B09E0EB" w14:textId="1223AB12" w:rsidR="00963AB6" w:rsidRPr="00053368" w:rsidRDefault="0071093E" w:rsidP="003E6550">
            <w:pPr>
              <w:spacing w:after="160" w:line="276" w:lineRule="auto"/>
              <w:jc w:val="center"/>
              <w:rPr>
                <w:rFonts w:cstheme="minorHAnsi"/>
              </w:rPr>
            </w:pPr>
            <w:r>
              <w:t>18.5</w:t>
            </w:r>
          </w:p>
        </w:tc>
        <w:tc>
          <w:tcPr>
            <w:tcW w:w="934" w:type="dxa"/>
            <w:tcBorders>
              <w:top w:val="single" w:sz="4" w:space="0" w:color="000000"/>
              <w:left w:val="single" w:sz="4" w:space="0" w:color="000000"/>
              <w:bottom w:val="single" w:sz="4" w:space="0" w:color="000000"/>
              <w:right w:val="single" w:sz="4" w:space="0" w:color="000000"/>
            </w:tcBorders>
            <w:vAlign w:val="center"/>
          </w:tcPr>
          <w:p w14:paraId="1506454E" w14:textId="09B2573F" w:rsidR="00963AB6" w:rsidRPr="00053368" w:rsidRDefault="0071093E" w:rsidP="003E6550">
            <w:pPr>
              <w:spacing w:after="160" w:line="276" w:lineRule="auto"/>
              <w:jc w:val="center"/>
              <w:rPr>
                <w:rFonts w:cstheme="minorHAnsi"/>
              </w:rPr>
            </w:pPr>
            <w:r>
              <w:t>33.76</w:t>
            </w:r>
          </w:p>
        </w:tc>
      </w:tr>
      <w:tr w:rsidR="00963AB6" w:rsidRPr="0033055B" w14:paraId="78318BB6" w14:textId="77777777" w:rsidTr="007563F9">
        <w:trPr>
          <w:trHeight w:val="464"/>
          <w:jc w:val="center"/>
        </w:trPr>
        <w:tc>
          <w:tcPr>
            <w:tcW w:w="2835" w:type="dxa"/>
            <w:tcBorders>
              <w:top w:val="single" w:sz="4" w:space="0" w:color="000000"/>
              <w:left w:val="single" w:sz="4" w:space="0" w:color="000000"/>
              <w:bottom w:val="single" w:sz="4" w:space="0" w:color="000000"/>
              <w:right w:val="single" w:sz="4" w:space="0" w:color="000000"/>
            </w:tcBorders>
            <w:vAlign w:val="center"/>
          </w:tcPr>
          <w:p w14:paraId="3193EA58" w14:textId="77777777" w:rsidR="00963AB6" w:rsidRPr="00053368" w:rsidRDefault="00724C64" w:rsidP="003E6550">
            <w:pPr>
              <w:spacing w:after="160" w:line="276" w:lineRule="auto"/>
              <w:jc w:val="center"/>
              <w:rPr>
                <w:rFonts w:cstheme="minorHAnsi"/>
              </w:rPr>
            </w:pPr>
            <w:r>
              <w:t>Hidrogjen nga të ripërtërishmet</w:t>
            </w:r>
          </w:p>
        </w:tc>
        <w:tc>
          <w:tcPr>
            <w:tcW w:w="932" w:type="dxa"/>
            <w:tcBorders>
              <w:top w:val="single" w:sz="4" w:space="0" w:color="000000"/>
              <w:left w:val="single" w:sz="4" w:space="0" w:color="000000"/>
              <w:bottom w:val="single" w:sz="4" w:space="0" w:color="000000"/>
              <w:right w:val="single" w:sz="4" w:space="0" w:color="000000"/>
            </w:tcBorders>
            <w:vAlign w:val="center"/>
          </w:tcPr>
          <w:p w14:paraId="12920AD6" w14:textId="77777777" w:rsidR="00963AB6" w:rsidRPr="00053368" w:rsidRDefault="00724C64" w:rsidP="003E6550">
            <w:pPr>
              <w:spacing w:after="160" w:line="276" w:lineRule="auto"/>
              <w:jc w:val="center"/>
              <w:rPr>
                <w:rFonts w:cstheme="minorHAnsi"/>
              </w:rPr>
            </w:pPr>
            <w:r>
              <w:t>0.0</w:t>
            </w:r>
          </w:p>
        </w:tc>
        <w:tc>
          <w:tcPr>
            <w:tcW w:w="932" w:type="dxa"/>
            <w:tcBorders>
              <w:top w:val="single" w:sz="4" w:space="0" w:color="000000"/>
              <w:left w:val="single" w:sz="4" w:space="0" w:color="000000"/>
              <w:bottom w:val="single" w:sz="4" w:space="0" w:color="000000"/>
              <w:right w:val="single" w:sz="4" w:space="0" w:color="000000"/>
            </w:tcBorders>
            <w:vAlign w:val="center"/>
          </w:tcPr>
          <w:p w14:paraId="07B6778E" w14:textId="77777777" w:rsidR="00963AB6" w:rsidRPr="00053368" w:rsidRDefault="00724C64" w:rsidP="003E6550">
            <w:pPr>
              <w:spacing w:after="160" w:line="276" w:lineRule="auto"/>
              <w:jc w:val="center"/>
              <w:rPr>
                <w:rFonts w:cstheme="minorHAnsi"/>
              </w:rPr>
            </w:pPr>
            <w:r>
              <w:t>0.0</w:t>
            </w:r>
          </w:p>
        </w:tc>
        <w:tc>
          <w:tcPr>
            <w:tcW w:w="934" w:type="dxa"/>
            <w:tcBorders>
              <w:top w:val="single" w:sz="4" w:space="0" w:color="000000"/>
              <w:left w:val="single" w:sz="4" w:space="0" w:color="000000"/>
              <w:bottom w:val="single" w:sz="4" w:space="0" w:color="000000"/>
              <w:right w:val="single" w:sz="4" w:space="0" w:color="000000"/>
            </w:tcBorders>
            <w:vAlign w:val="center"/>
          </w:tcPr>
          <w:p w14:paraId="7E1544D2" w14:textId="77777777" w:rsidR="00963AB6" w:rsidRPr="00053368" w:rsidRDefault="00724C64" w:rsidP="003E6550">
            <w:pPr>
              <w:spacing w:after="160" w:line="276" w:lineRule="auto"/>
              <w:jc w:val="center"/>
              <w:rPr>
                <w:rFonts w:cstheme="minorHAnsi"/>
              </w:rPr>
            </w:pPr>
            <w:r>
              <w:t>0.0</w:t>
            </w:r>
          </w:p>
        </w:tc>
        <w:tc>
          <w:tcPr>
            <w:tcW w:w="932" w:type="dxa"/>
            <w:tcBorders>
              <w:top w:val="single" w:sz="4" w:space="0" w:color="000000"/>
              <w:left w:val="single" w:sz="4" w:space="0" w:color="000000"/>
              <w:bottom w:val="single" w:sz="4" w:space="0" w:color="000000"/>
              <w:right w:val="single" w:sz="4" w:space="0" w:color="000000"/>
            </w:tcBorders>
            <w:vAlign w:val="center"/>
          </w:tcPr>
          <w:p w14:paraId="10FE1C03" w14:textId="77777777" w:rsidR="00963AB6" w:rsidRPr="00053368" w:rsidRDefault="00724C64" w:rsidP="003E6550">
            <w:pPr>
              <w:spacing w:after="160" w:line="276" w:lineRule="auto"/>
              <w:jc w:val="center"/>
              <w:rPr>
                <w:rFonts w:cstheme="minorHAnsi"/>
              </w:rPr>
            </w:pPr>
            <w:r>
              <w:t>0.0</w:t>
            </w:r>
          </w:p>
        </w:tc>
        <w:tc>
          <w:tcPr>
            <w:tcW w:w="934" w:type="dxa"/>
            <w:tcBorders>
              <w:top w:val="single" w:sz="4" w:space="0" w:color="000000"/>
              <w:left w:val="single" w:sz="4" w:space="0" w:color="000000"/>
              <w:bottom w:val="single" w:sz="4" w:space="0" w:color="000000"/>
              <w:right w:val="single" w:sz="4" w:space="0" w:color="000000"/>
            </w:tcBorders>
            <w:vAlign w:val="center"/>
          </w:tcPr>
          <w:p w14:paraId="7F854BF8" w14:textId="77777777" w:rsidR="00963AB6" w:rsidRPr="00053368" w:rsidRDefault="00724C64" w:rsidP="003E6550">
            <w:pPr>
              <w:spacing w:after="160" w:line="276" w:lineRule="auto"/>
              <w:jc w:val="center"/>
              <w:rPr>
                <w:rFonts w:cstheme="minorHAnsi"/>
              </w:rPr>
            </w:pPr>
            <w:r>
              <w:t>0.0</w:t>
            </w:r>
          </w:p>
        </w:tc>
        <w:tc>
          <w:tcPr>
            <w:tcW w:w="932" w:type="dxa"/>
            <w:tcBorders>
              <w:top w:val="single" w:sz="4" w:space="0" w:color="000000"/>
              <w:left w:val="single" w:sz="4" w:space="0" w:color="000000"/>
              <w:bottom w:val="single" w:sz="4" w:space="0" w:color="000000"/>
              <w:right w:val="single" w:sz="4" w:space="0" w:color="000000"/>
            </w:tcBorders>
            <w:vAlign w:val="center"/>
          </w:tcPr>
          <w:p w14:paraId="37C061BB" w14:textId="77777777" w:rsidR="00963AB6" w:rsidRPr="00053368" w:rsidRDefault="00724C64" w:rsidP="003E6550">
            <w:pPr>
              <w:spacing w:after="160" w:line="276" w:lineRule="auto"/>
              <w:jc w:val="center"/>
              <w:rPr>
                <w:rFonts w:cstheme="minorHAnsi"/>
              </w:rPr>
            </w:pPr>
            <w:r>
              <w:t>0.0</w:t>
            </w:r>
          </w:p>
        </w:tc>
        <w:tc>
          <w:tcPr>
            <w:tcW w:w="932" w:type="dxa"/>
            <w:tcBorders>
              <w:top w:val="single" w:sz="4" w:space="0" w:color="000000"/>
              <w:left w:val="single" w:sz="4" w:space="0" w:color="000000"/>
              <w:bottom w:val="single" w:sz="4" w:space="0" w:color="000000"/>
              <w:right w:val="single" w:sz="4" w:space="0" w:color="000000"/>
            </w:tcBorders>
            <w:vAlign w:val="center"/>
          </w:tcPr>
          <w:p w14:paraId="6A72077E" w14:textId="77777777" w:rsidR="00963AB6" w:rsidRPr="00053368" w:rsidRDefault="00724C64" w:rsidP="003E6550">
            <w:pPr>
              <w:spacing w:after="160" w:line="276" w:lineRule="auto"/>
              <w:jc w:val="center"/>
              <w:rPr>
                <w:rFonts w:cstheme="minorHAnsi"/>
              </w:rPr>
            </w:pPr>
            <w:r>
              <w:t>0.0</w:t>
            </w:r>
          </w:p>
        </w:tc>
        <w:tc>
          <w:tcPr>
            <w:tcW w:w="934" w:type="dxa"/>
            <w:tcBorders>
              <w:top w:val="single" w:sz="4" w:space="0" w:color="000000"/>
              <w:left w:val="single" w:sz="4" w:space="0" w:color="000000"/>
              <w:bottom w:val="single" w:sz="4" w:space="0" w:color="000000"/>
              <w:right w:val="single" w:sz="4" w:space="0" w:color="000000"/>
            </w:tcBorders>
            <w:vAlign w:val="center"/>
          </w:tcPr>
          <w:p w14:paraId="33964E55" w14:textId="77777777" w:rsidR="00963AB6" w:rsidRPr="00053368" w:rsidRDefault="00724C64" w:rsidP="003E6550">
            <w:pPr>
              <w:spacing w:after="160" w:line="276" w:lineRule="auto"/>
              <w:jc w:val="center"/>
              <w:rPr>
                <w:rFonts w:cstheme="minorHAnsi"/>
              </w:rPr>
            </w:pPr>
            <w:r>
              <w:t>0.0</w:t>
            </w:r>
          </w:p>
        </w:tc>
        <w:tc>
          <w:tcPr>
            <w:tcW w:w="932" w:type="dxa"/>
            <w:tcBorders>
              <w:top w:val="single" w:sz="4" w:space="0" w:color="000000"/>
              <w:left w:val="single" w:sz="4" w:space="0" w:color="000000"/>
              <w:bottom w:val="single" w:sz="4" w:space="0" w:color="000000"/>
              <w:right w:val="single" w:sz="4" w:space="0" w:color="000000"/>
            </w:tcBorders>
            <w:vAlign w:val="center"/>
          </w:tcPr>
          <w:p w14:paraId="2847D963" w14:textId="77777777" w:rsidR="00963AB6" w:rsidRPr="00053368" w:rsidRDefault="00724C64" w:rsidP="003E6550">
            <w:pPr>
              <w:spacing w:after="160" w:line="276" w:lineRule="auto"/>
              <w:jc w:val="center"/>
              <w:rPr>
                <w:rFonts w:cstheme="minorHAnsi"/>
              </w:rPr>
            </w:pPr>
            <w:r>
              <w:t>0.0</w:t>
            </w:r>
          </w:p>
        </w:tc>
        <w:tc>
          <w:tcPr>
            <w:tcW w:w="934" w:type="dxa"/>
            <w:tcBorders>
              <w:top w:val="single" w:sz="4" w:space="0" w:color="000000"/>
              <w:left w:val="single" w:sz="4" w:space="0" w:color="000000"/>
              <w:bottom w:val="single" w:sz="4" w:space="0" w:color="000000"/>
              <w:right w:val="single" w:sz="4" w:space="0" w:color="000000"/>
            </w:tcBorders>
            <w:vAlign w:val="center"/>
          </w:tcPr>
          <w:p w14:paraId="676B81E1" w14:textId="77777777" w:rsidR="00963AB6" w:rsidRPr="00053368" w:rsidRDefault="00724C64" w:rsidP="003E6550">
            <w:pPr>
              <w:spacing w:after="160" w:line="276" w:lineRule="auto"/>
              <w:jc w:val="center"/>
              <w:rPr>
                <w:rFonts w:cstheme="minorHAnsi"/>
              </w:rPr>
            </w:pPr>
            <w:r>
              <w:t>0.0</w:t>
            </w:r>
          </w:p>
        </w:tc>
        <w:tc>
          <w:tcPr>
            <w:tcW w:w="932" w:type="dxa"/>
            <w:tcBorders>
              <w:top w:val="single" w:sz="4" w:space="0" w:color="000000"/>
              <w:left w:val="single" w:sz="4" w:space="0" w:color="000000"/>
              <w:bottom w:val="single" w:sz="4" w:space="0" w:color="000000"/>
              <w:right w:val="single" w:sz="4" w:space="0" w:color="000000"/>
            </w:tcBorders>
            <w:vAlign w:val="center"/>
          </w:tcPr>
          <w:p w14:paraId="2262898E" w14:textId="77777777" w:rsidR="00963AB6" w:rsidRPr="00053368" w:rsidRDefault="00724C64" w:rsidP="003E6550">
            <w:pPr>
              <w:spacing w:after="160" w:line="276" w:lineRule="auto"/>
              <w:jc w:val="center"/>
              <w:rPr>
                <w:rFonts w:cstheme="minorHAnsi"/>
              </w:rPr>
            </w:pPr>
            <w:r>
              <w:t>0.0</w:t>
            </w:r>
          </w:p>
        </w:tc>
        <w:tc>
          <w:tcPr>
            <w:tcW w:w="934" w:type="dxa"/>
            <w:tcBorders>
              <w:top w:val="single" w:sz="4" w:space="0" w:color="000000"/>
              <w:left w:val="single" w:sz="4" w:space="0" w:color="000000"/>
              <w:bottom w:val="single" w:sz="4" w:space="0" w:color="000000"/>
              <w:right w:val="single" w:sz="4" w:space="0" w:color="000000"/>
            </w:tcBorders>
            <w:vAlign w:val="center"/>
          </w:tcPr>
          <w:p w14:paraId="3943C6E2" w14:textId="77777777" w:rsidR="00963AB6" w:rsidRPr="00053368" w:rsidRDefault="00724C64" w:rsidP="003E6550">
            <w:pPr>
              <w:spacing w:after="160" w:line="276" w:lineRule="auto"/>
              <w:jc w:val="center"/>
              <w:rPr>
                <w:rFonts w:cstheme="minorHAnsi"/>
              </w:rPr>
            </w:pPr>
            <w:r>
              <w:t>0.0</w:t>
            </w:r>
          </w:p>
        </w:tc>
      </w:tr>
      <w:tr w:rsidR="00963AB6" w:rsidRPr="0033055B" w14:paraId="3C0A3C1F" w14:textId="77777777" w:rsidTr="007563F9">
        <w:trPr>
          <w:trHeight w:val="464"/>
          <w:jc w:val="center"/>
        </w:trPr>
        <w:tc>
          <w:tcPr>
            <w:tcW w:w="2835" w:type="dxa"/>
            <w:tcBorders>
              <w:top w:val="single" w:sz="4" w:space="0" w:color="000000"/>
              <w:left w:val="single" w:sz="4" w:space="0" w:color="000000"/>
              <w:bottom w:val="single" w:sz="4" w:space="0" w:color="000000"/>
              <w:right w:val="single" w:sz="4" w:space="0" w:color="000000"/>
            </w:tcBorders>
            <w:vAlign w:val="center"/>
          </w:tcPr>
          <w:p w14:paraId="1FC9CD7D" w14:textId="77777777" w:rsidR="00963AB6" w:rsidRPr="00053368" w:rsidRDefault="00724C64" w:rsidP="003E6550">
            <w:pPr>
              <w:spacing w:after="160" w:line="276" w:lineRule="auto"/>
              <w:jc w:val="center"/>
              <w:rPr>
                <w:rFonts w:cstheme="minorHAnsi"/>
              </w:rPr>
            </w:pPr>
            <w:r>
              <w:t>Energji elektrike e ripërtërishme</w:t>
            </w:r>
          </w:p>
        </w:tc>
        <w:tc>
          <w:tcPr>
            <w:tcW w:w="932" w:type="dxa"/>
            <w:tcBorders>
              <w:top w:val="single" w:sz="4" w:space="0" w:color="000000"/>
              <w:left w:val="single" w:sz="4" w:space="0" w:color="000000"/>
              <w:bottom w:val="single" w:sz="4" w:space="0" w:color="000000"/>
              <w:right w:val="single" w:sz="4" w:space="0" w:color="000000"/>
            </w:tcBorders>
            <w:vAlign w:val="center"/>
          </w:tcPr>
          <w:p w14:paraId="1BDCFE5E" w14:textId="77777777" w:rsidR="00963AB6" w:rsidRPr="00053368" w:rsidRDefault="00724C64" w:rsidP="003E6550">
            <w:pPr>
              <w:spacing w:after="160" w:line="276" w:lineRule="auto"/>
              <w:jc w:val="center"/>
              <w:rPr>
                <w:rFonts w:cstheme="minorHAnsi"/>
              </w:rPr>
            </w:pPr>
            <w:r>
              <w:t>0.0</w:t>
            </w:r>
          </w:p>
        </w:tc>
        <w:tc>
          <w:tcPr>
            <w:tcW w:w="932" w:type="dxa"/>
            <w:tcBorders>
              <w:top w:val="single" w:sz="4" w:space="0" w:color="000000"/>
              <w:left w:val="single" w:sz="4" w:space="0" w:color="000000"/>
              <w:bottom w:val="single" w:sz="4" w:space="0" w:color="000000"/>
              <w:right w:val="single" w:sz="4" w:space="0" w:color="000000"/>
            </w:tcBorders>
            <w:vAlign w:val="center"/>
          </w:tcPr>
          <w:p w14:paraId="08171A58" w14:textId="77777777" w:rsidR="00963AB6" w:rsidRPr="00053368" w:rsidRDefault="00724C64" w:rsidP="003E6550">
            <w:pPr>
              <w:spacing w:after="160" w:line="276" w:lineRule="auto"/>
              <w:jc w:val="center"/>
              <w:rPr>
                <w:rFonts w:cstheme="minorHAnsi"/>
              </w:rPr>
            </w:pPr>
            <w:r>
              <w:t>0.0</w:t>
            </w:r>
          </w:p>
        </w:tc>
        <w:tc>
          <w:tcPr>
            <w:tcW w:w="934" w:type="dxa"/>
            <w:tcBorders>
              <w:top w:val="single" w:sz="4" w:space="0" w:color="000000"/>
              <w:left w:val="single" w:sz="4" w:space="0" w:color="000000"/>
              <w:bottom w:val="single" w:sz="4" w:space="0" w:color="000000"/>
              <w:right w:val="single" w:sz="4" w:space="0" w:color="000000"/>
            </w:tcBorders>
            <w:vAlign w:val="center"/>
          </w:tcPr>
          <w:p w14:paraId="795A4C4D" w14:textId="77777777" w:rsidR="00963AB6" w:rsidRPr="00053368" w:rsidRDefault="00724C64" w:rsidP="003E6550">
            <w:pPr>
              <w:spacing w:after="160" w:line="276" w:lineRule="auto"/>
              <w:jc w:val="center"/>
              <w:rPr>
                <w:rFonts w:cstheme="minorHAnsi"/>
              </w:rPr>
            </w:pPr>
            <w:r>
              <w:t>0.0</w:t>
            </w:r>
          </w:p>
        </w:tc>
        <w:tc>
          <w:tcPr>
            <w:tcW w:w="932" w:type="dxa"/>
            <w:tcBorders>
              <w:top w:val="single" w:sz="4" w:space="0" w:color="000000"/>
              <w:left w:val="single" w:sz="4" w:space="0" w:color="000000"/>
              <w:bottom w:val="single" w:sz="4" w:space="0" w:color="000000"/>
              <w:right w:val="single" w:sz="4" w:space="0" w:color="000000"/>
            </w:tcBorders>
            <w:vAlign w:val="center"/>
          </w:tcPr>
          <w:p w14:paraId="182E17DE" w14:textId="77777777" w:rsidR="00963AB6" w:rsidRPr="00053368" w:rsidRDefault="00724C64" w:rsidP="003E6550">
            <w:pPr>
              <w:spacing w:after="160" w:line="276" w:lineRule="auto"/>
              <w:jc w:val="center"/>
              <w:rPr>
                <w:rFonts w:cstheme="minorHAnsi"/>
              </w:rPr>
            </w:pPr>
            <w:r>
              <w:t>0.0</w:t>
            </w:r>
          </w:p>
        </w:tc>
        <w:tc>
          <w:tcPr>
            <w:tcW w:w="934" w:type="dxa"/>
            <w:tcBorders>
              <w:top w:val="single" w:sz="4" w:space="0" w:color="000000"/>
              <w:left w:val="single" w:sz="4" w:space="0" w:color="000000"/>
              <w:bottom w:val="single" w:sz="4" w:space="0" w:color="000000"/>
              <w:right w:val="single" w:sz="4" w:space="0" w:color="000000"/>
            </w:tcBorders>
            <w:vAlign w:val="center"/>
          </w:tcPr>
          <w:p w14:paraId="3B5656B9" w14:textId="77777777" w:rsidR="00963AB6" w:rsidRPr="00053368" w:rsidRDefault="00724C64" w:rsidP="003E6550">
            <w:pPr>
              <w:spacing w:after="160" w:line="276" w:lineRule="auto"/>
              <w:jc w:val="center"/>
              <w:rPr>
                <w:rFonts w:cstheme="minorHAnsi"/>
              </w:rPr>
            </w:pPr>
            <w:r>
              <w:t>0.0</w:t>
            </w:r>
          </w:p>
        </w:tc>
        <w:tc>
          <w:tcPr>
            <w:tcW w:w="932" w:type="dxa"/>
            <w:tcBorders>
              <w:top w:val="single" w:sz="4" w:space="0" w:color="000000"/>
              <w:left w:val="single" w:sz="4" w:space="0" w:color="000000"/>
              <w:bottom w:val="single" w:sz="4" w:space="0" w:color="000000"/>
              <w:right w:val="single" w:sz="4" w:space="0" w:color="000000"/>
            </w:tcBorders>
            <w:vAlign w:val="center"/>
          </w:tcPr>
          <w:p w14:paraId="7A49BE16" w14:textId="77777777" w:rsidR="00963AB6" w:rsidRPr="00053368" w:rsidRDefault="00724C64" w:rsidP="003E6550">
            <w:pPr>
              <w:spacing w:after="160" w:line="276" w:lineRule="auto"/>
              <w:jc w:val="center"/>
              <w:rPr>
                <w:rFonts w:cstheme="minorHAnsi"/>
              </w:rPr>
            </w:pPr>
            <w:r>
              <w:t>0.0</w:t>
            </w:r>
          </w:p>
        </w:tc>
        <w:tc>
          <w:tcPr>
            <w:tcW w:w="932" w:type="dxa"/>
            <w:tcBorders>
              <w:top w:val="single" w:sz="4" w:space="0" w:color="000000"/>
              <w:left w:val="single" w:sz="4" w:space="0" w:color="000000"/>
              <w:bottom w:val="single" w:sz="4" w:space="0" w:color="000000"/>
              <w:right w:val="single" w:sz="4" w:space="0" w:color="000000"/>
            </w:tcBorders>
            <w:vAlign w:val="center"/>
          </w:tcPr>
          <w:p w14:paraId="7A0E4BBF" w14:textId="77777777" w:rsidR="00963AB6" w:rsidRPr="00053368" w:rsidRDefault="00724C64" w:rsidP="003E6550">
            <w:pPr>
              <w:spacing w:after="160" w:line="276" w:lineRule="auto"/>
              <w:jc w:val="center"/>
              <w:rPr>
                <w:rFonts w:cstheme="minorHAnsi"/>
              </w:rPr>
            </w:pPr>
            <w:r>
              <w:t>0.0</w:t>
            </w:r>
          </w:p>
        </w:tc>
        <w:tc>
          <w:tcPr>
            <w:tcW w:w="934" w:type="dxa"/>
            <w:tcBorders>
              <w:top w:val="single" w:sz="4" w:space="0" w:color="000000"/>
              <w:left w:val="single" w:sz="4" w:space="0" w:color="000000"/>
              <w:bottom w:val="single" w:sz="4" w:space="0" w:color="000000"/>
              <w:right w:val="single" w:sz="4" w:space="0" w:color="000000"/>
            </w:tcBorders>
            <w:vAlign w:val="center"/>
          </w:tcPr>
          <w:p w14:paraId="117CE509" w14:textId="77777777" w:rsidR="00963AB6" w:rsidRPr="00053368" w:rsidRDefault="00724C64" w:rsidP="003E6550">
            <w:pPr>
              <w:spacing w:after="160" w:line="276" w:lineRule="auto"/>
              <w:jc w:val="center"/>
              <w:rPr>
                <w:rFonts w:cstheme="minorHAnsi"/>
              </w:rPr>
            </w:pPr>
            <w:r>
              <w:t>0.0</w:t>
            </w:r>
          </w:p>
        </w:tc>
        <w:tc>
          <w:tcPr>
            <w:tcW w:w="932" w:type="dxa"/>
            <w:tcBorders>
              <w:top w:val="single" w:sz="4" w:space="0" w:color="000000"/>
              <w:left w:val="single" w:sz="4" w:space="0" w:color="000000"/>
              <w:bottom w:val="single" w:sz="4" w:space="0" w:color="000000"/>
              <w:right w:val="single" w:sz="4" w:space="0" w:color="000000"/>
            </w:tcBorders>
            <w:vAlign w:val="center"/>
          </w:tcPr>
          <w:p w14:paraId="7F6B4D7A" w14:textId="77777777" w:rsidR="00963AB6" w:rsidRPr="00053368" w:rsidRDefault="00724C64" w:rsidP="003E6550">
            <w:pPr>
              <w:spacing w:after="160" w:line="276" w:lineRule="auto"/>
              <w:jc w:val="center"/>
              <w:rPr>
                <w:rFonts w:cstheme="minorHAnsi"/>
              </w:rPr>
            </w:pPr>
            <w:r>
              <w:t>0.0</w:t>
            </w:r>
          </w:p>
        </w:tc>
        <w:tc>
          <w:tcPr>
            <w:tcW w:w="934" w:type="dxa"/>
            <w:tcBorders>
              <w:top w:val="single" w:sz="4" w:space="0" w:color="000000"/>
              <w:left w:val="single" w:sz="4" w:space="0" w:color="000000"/>
              <w:bottom w:val="single" w:sz="4" w:space="0" w:color="000000"/>
              <w:right w:val="single" w:sz="4" w:space="0" w:color="000000"/>
            </w:tcBorders>
            <w:vAlign w:val="center"/>
          </w:tcPr>
          <w:p w14:paraId="52883EE6" w14:textId="77777777" w:rsidR="00963AB6" w:rsidRPr="00053368" w:rsidRDefault="00724C64" w:rsidP="003E6550">
            <w:pPr>
              <w:spacing w:after="160" w:line="276" w:lineRule="auto"/>
              <w:jc w:val="center"/>
              <w:rPr>
                <w:rFonts w:cstheme="minorHAnsi"/>
              </w:rPr>
            </w:pPr>
            <w:r>
              <w:t>0.0</w:t>
            </w:r>
          </w:p>
        </w:tc>
        <w:tc>
          <w:tcPr>
            <w:tcW w:w="932" w:type="dxa"/>
            <w:tcBorders>
              <w:top w:val="single" w:sz="4" w:space="0" w:color="000000"/>
              <w:left w:val="single" w:sz="4" w:space="0" w:color="000000"/>
              <w:bottom w:val="single" w:sz="4" w:space="0" w:color="000000"/>
              <w:right w:val="single" w:sz="4" w:space="0" w:color="000000"/>
            </w:tcBorders>
            <w:vAlign w:val="center"/>
          </w:tcPr>
          <w:p w14:paraId="4FE1E7E1" w14:textId="77777777" w:rsidR="00963AB6" w:rsidRPr="00053368" w:rsidRDefault="00724C64" w:rsidP="003E6550">
            <w:pPr>
              <w:spacing w:after="160" w:line="276" w:lineRule="auto"/>
              <w:jc w:val="center"/>
              <w:rPr>
                <w:rFonts w:cstheme="minorHAnsi"/>
              </w:rPr>
            </w:pPr>
            <w:r>
              <w:t>0.0</w:t>
            </w:r>
          </w:p>
        </w:tc>
        <w:tc>
          <w:tcPr>
            <w:tcW w:w="934" w:type="dxa"/>
            <w:tcBorders>
              <w:top w:val="single" w:sz="4" w:space="0" w:color="000000"/>
              <w:left w:val="single" w:sz="4" w:space="0" w:color="000000"/>
              <w:bottom w:val="single" w:sz="4" w:space="0" w:color="000000"/>
              <w:right w:val="single" w:sz="4" w:space="0" w:color="000000"/>
            </w:tcBorders>
            <w:vAlign w:val="center"/>
          </w:tcPr>
          <w:p w14:paraId="288972EA" w14:textId="77777777" w:rsidR="00963AB6" w:rsidRPr="00053368" w:rsidRDefault="00724C64" w:rsidP="003E6550">
            <w:pPr>
              <w:spacing w:after="160" w:line="276" w:lineRule="auto"/>
              <w:jc w:val="center"/>
              <w:rPr>
                <w:rFonts w:cstheme="minorHAnsi"/>
              </w:rPr>
            </w:pPr>
            <w:r>
              <w:t>0.0</w:t>
            </w:r>
          </w:p>
        </w:tc>
      </w:tr>
      <w:tr w:rsidR="00963AB6" w:rsidRPr="0033055B" w14:paraId="2C094AD7" w14:textId="77777777" w:rsidTr="007563F9">
        <w:trPr>
          <w:trHeight w:val="463"/>
          <w:jc w:val="center"/>
        </w:trPr>
        <w:tc>
          <w:tcPr>
            <w:tcW w:w="2835" w:type="dxa"/>
            <w:tcBorders>
              <w:top w:val="single" w:sz="4" w:space="0" w:color="000000"/>
              <w:left w:val="single" w:sz="4" w:space="0" w:color="000000"/>
              <w:bottom w:val="single" w:sz="4" w:space="0" w:color="000000"/>
              <w:right w:val="single" w:sz="4" w:space="0" w:color="000000"/>
            </w:tcBorders>
            <w:vAlign w:val="center"/>
          </w:tcPr>
          <w:p w14:paraId="6FB1452E" w14:textId="77777777" w:rsidR="00963AB6" w:rsidRPr="00053368" w:rsidRDefault="00724C64" w:rsidP="003E6550">
            <w:pPr>
              <w:spacing w:after="160" w:line="276" w:lineRule="auto"/>
              <w:jc w:val="center"/>
              <w:rPr>
                <w:rFonts w:cstheme="minorHAnsi"/>
              </w:rPr>
            </w:pPr>
            <w:r>
              <w:t>Prej të cilave transport rrugor</w:t>
            </w:r>
          </w:p>
        </w:tc>
        <w:tc>
          <w:tcPr>
            <w:tcW w:w="932" w:type="dxa"/>
            <w:tcBorders>
              <w:top w:val="single" w:sz="4" w:space="0" w:color="000000"/>
              <w:left w:val="single" w:sz="4" w:space="0" w:color="000000"/>
              <w:bottom w:val="single" w:sz="4" w:space="0" w:color="000000"/>
              <w:right w:val="single" w:sz="4" w:space="0" w:color="000000"/>
            </w:tcBorders>
            <w:vAlign w:val="center"/>
          </w:tcPr>
          <w:p w14:paraId="7EB7E055" w14:textId="77777777" w:rsidR="00963AB6" w:rsidRPr="00053368" w:rsidRDefault="00724C64" w:rsidP="003E6550">
            <w:pPr>
              <w:spacing w:after="160" w:line="276" w:lineRule="auto"/>
              <w:jc w:val="center"/>
              <w:rPr>
                <w:rFonts w:cstheme="minorHAnsi"/>
              </w:rPr>
            </w:pPr>
            <w:r>
              <w:t>0.0</w:t>
            </w:r>
          </w:p>
        </w:tc>
        <w:tc>
          <w:tcPr>
            <w:tcW w:w="932" w:type="dxa"/>
            <w:tcBorders>
              <w:top w:val="single" w:sz="4" w:space="0" w:color="000000"/>
              <w:left w:val="single" w:sz="4" w:space="0" w:color="000000"/>
              <w:bottom w:val="single" w:sz="4" w:space="0" w:color="000000"/>
              <w:right w:val="single" w:sz="4" w:space="0" w:color="000000"/>
            </w:tcBorders>
            <w:vAlign w:val="center"/>
          </w:tcPr>
          <w:p w14:paraId="6F2608FF" w14:textId="77777777" w:rsidR="00963AB6" w:rsidRPr="00053368" w:rsidRDefault="00724C64" w:rsidP="003E6550">
            <w:pPr>
              <w:spacing w:after="160" w:line="276" w:lineRule="auto"/>
              <w:jc w:val="center"/>
              <w:rPr>
                <w:rFonts w:cstheme="minorHAnsi"/>
              </w:rPr>
            </w:pPr>
            <w:r>
              <w:t>0.0</w:t>
            </w:r>
          </w:p>
        </w:tc>
        <w:tc>
          <w:tcPr>
            <w:tcW w:w="934" w:type="dxa"/>
            <w:tcBorders>
              <w:top w:val="single" w:sz="4" w:space="0" w:color="000000"/>
              <w:left w:val="single" w:sz="4" w:space="0" w:color="000000"/>
              <w:bottom w:val="single" w:sz="4" w:space="0" w:color="000000"/>
              <w:right w:val="single" w:sz="4" w:space="0" w:color="000000"/>
            </w:tcBorders>
            <w:vAlign w:val="center"/>
          </w:tcPr>
          <w:p w14:paraId="2134230A" w14:textId="77777777" w:rsidR="00963AB6" w:rsidRPr="00053368" w:rsidRDefault="00724C64" w:rsidP="003E6550">
            <w:pPr>
              <w:spacing w:after="160" w:line="276" w:lineRule="auto"/>
              <w:jc w:val="center"/>
              <w:rPr>
                <w:rFonts w:cstheme="minorHAnsi"/>
              </w:rPr>
            </w:pPr>
            <w:r>
              <w:t>0.0</w:t>
            </w:r>
          </w:p>
        </w:tc>
        <w:tc>
          <w:tcPr>
            <w:tcW w:w="932" w:type="dxa"/>
            <w:tcBorders>
              <w:top w:val="single" w:sz="4" w:space="0" w:color="000000"/>
              <w:left w:val="single" w:sz="4" w:space="0" w:color="000000"/>
              <w:bottom w:val="single" w:sz="4" w:space="0" w:color="000000"/>
              <w:right w:val="single" w:sz="4" w:space="0" w:color="000000"/>
            </w:tcBorders>
            <w:vAlign w:val="center"/>
          </w:tcPr>
          <w:p w14:paraId="6830E89C" w14:textId="77777777" w:rsidR="00963AB6" w:rsidRPr="00053368" w:rsidRDefault="00724C64" w:rsidP="003E6550">
            <w:pPr>
              <w:spacing w:after="160" w:line="276" w:lineRule="auto"/>
              <w:jc w:val="center"/>
              <w:rPr>
                <w:rFonts w:cstheme="minorHAnsi"/>
              </w:rPr>
            </w:pPr>
            <w:r>
              <w:t>0.0</w:t>
            </w:r>
          </w:p>
        </w:tc>
        <w:tc>
          <w:tcPr>
            <w:tcW w:w="934" w:type="dxa"/>
            <w:tcBorders>
              <w:top w:val="single" w:sz="4" w:space="0" w:color="000000"/>
              <w:left w:val="single" w:sz="4" w:space="0" w:color="000000"/>
              <w:bottom w:val="single" w:sz="4" w:space="0" w:color="000000"/>
              <w:right w:val="single" w:sz="4" w:space="0" w:color="000000"/>
            </w:tcBorders>
            <w:vAlign w:val="center"/>
          </w:tcPr>
          <w:p w14:paraId="3758886E" w14:textId="77777777" w:rsidR="00963AB6" w:rsidRPr="00053368" w:rsidRDefault="00724C64" w:rsidP="003E6550">
            <w:pPr>
              <w:spacing w:after="160" w:line="276" w:lineRule="auto"/>
              <w:jc w:val="center"/>
              <w:rPr>
                <w:rFonts w:cstheme="minorHAnsi"/>
              </w:rPr>
            </w:pPr>
            <w:r>
              <w:t>0.0</w:t>
            </w:r>
          </w:p>
        </w:tc>
        <w:tc>
          <w:tcPr>
            <w:tcW w:w="932" w:type="dxa"/>
            <w:tcBorders>
              <w:top w:val="single" w:sz="4" w:space="0" w:color="000000"/>
              <w:left w:val="single" w:sz="4" w:space="0" w:color="000000"/>
              <w:bottom w:val="single" w:sz="4" w:space="0" w:color="000000"/>
              <w:right w:val="single" w:sz="4" w:space="0" w:color="000000"/>
            </w:tcBorders>
            <w:vAlign w:val="center"/>
          </w:tcPr>
          <w:p w14:paraId="5A76C30B" w14:textId="77777777" w:rsidR="00963AB6" w:rsidRPr="00053368" w:rsidRDefault="00724C64" w:rsidP="003E6550">
            <w:pPr>
              <w:spacing w:after="160" w:line="276" w:lineRule="auto"/>
              <w:jc w:val="center"/>
              <w:rPr>
                <w:rFonts w:cstheme="minorHAnsi"/>
              </w:rPr>
            </w:pPr>
            <w:r>
              <w:t>0.0</w:t>
            </w:r>
          </w:p>
        </w:tc>
        <w:tc>
          <w:tcPr>
            <w:tcW w:w="932" w:type="dxa"/>
            <w:tcBorders>
              <w:top w:val="single" w:sz="4" w:space="0" w:color="000000"/>
              <w:left w:val="single" w:sz="4" w:space="0" w:color="000000"/>
              <w:bottom w:val="single" w:sz="4" w:space="0" w:color="000000"/>
              <w:right w:val="single" w:sz="4" w:space="0" w:color="000000"/>
            </w:tcBorders>
            <w:vAlign w:val="center"/>
          </w:tcPr>
          <w:p w14:paraId="19256A18" w14:textId="77777777" w:rsidR="00963AB6" w:rsidRPr="00053368" w:rsidRDefault="00724C64" w:rsidP="003E6550">
            <w:pPr>
              <w:spacing w:after="160" w:line="276" w:lineRule="auto"/>
              <w:jc w:val="center"/>
              <w:rPr>
                <w:rFonts w:cstheme="minorHAnsi"/>
              </w:rPr>
            </w:pPr>
            <w:r>
              <w:t>0.0</w:t>
            </w:r>
          </w:p>
        </w:tc>
        <w:tc>
          <w:tcPr>
            <w:tcW w:w="934" w:type="dxa"/>
            <w:tcBorders>
              <w:top w:val="single" w:sz="4" w:space="0" w:color="000000"/>
              <w:left w:val="single" w:sz="4" w:space="0" w:color="000000"/>
              <w:bottom w:val="single" w:sz="4" w:space="0" w:color="000000"/>
              <w:right w:val="single" w:sz="4" w:space="0" w:color="000000"/>
            </w:tcBorders>
            <w:vAlign w:val="center"/>
          </w:tcPr>
          <w:p w14:paraId="4B63E02D" w14:textId="77777777" w:rsidR="00963AB6" w:rsidRPr="00053368" w:rsidRDefault="00724C64" w:rsidP="003E6550">
            <w:pPr>
              <w:spacing w:after="160" w:line="276" w:lineRule="auto"/>
              <w:jc w:val="center"/>
              <w:rPr>
                <w:rFonts w:cstheme="minorHAnsi"/>
              </w:rPr>
            </w:pPr>
            <w:r>
              <w:t>0.0</w:t>
            </w:r>
          </w:p>
        </w:tc>
        <w:tc>
          <w:tcPr>
            <w:tcW w:w="932" w:type="dxa"/>
            <w:tcBorders>
              <w:top w:val="single" w:sz="4" w:space="0" w:color="000000"/>
              <w:left w:val="single" w:sz="4" w:space="0" w:color="000000"/>
              <w:bottom w:val="single" w:sz="4" w:space="0" w:color="000000"/>
              <w:right w:val="single" w:sz="4" w:space="0" w:color="000000"/>
            </w:tcBorders>
            <w:vAlign w:val="center"/>
          </w:tcPr>
          <w:p w14:paraId="519C06CC" w14:textId="77777777" w:rsidR="00963AB6" w:rsidRPr="00053368" w:rsidRDefault="00724C64" w:rsidP="003E6550">
            <w:pPr>
              <w:spacing w:after="160" w:line="276" w:lineRule="auto"/>
              <w:jc w:val="center"/>
              <w:rPr>
                <w:rFonts w:cstheme="minorHAnsi"/>
              </w:rPr>
            </w:pPr>
            <w:r>
              <w:t>0.0</w:t>
            </w:r>
          </w:p>
        </w:tc>
        <w:tc>
          <w:tcPr>
            <w:tcW w:w="934" w:type="dxa"/>
            <w:tcBorders>
              <w:top w:val="single" w:sz="4" w:space="0" w:color="000000"/>
              <w:left w:val="single" w:sz="4" w:space="0" w:color="000000"/>
              <w:bottom w:val="single" w:sz="4" w:space="0" w:color="000000"/>
              <w:right w:val="single" w:sz="4" w:space="0" w:color="000000"/>
            </w:tcBorders>
            <w:vAlign w:val="center"/>
          </w:tcPr>
          <w:p w14:paraId="69BDA1E3" w14:textId="77777777" w:rsidR="00963AB6" w:rsidRPr="00053368" w:rsidRDefault="00724C64" w:rsidP="003E6550">
            <w:pPr>
              <w:spacing w:after="160" w:line="276" w:lineRule="auto"/>
              <w:jc w:val="center"/>
              <w:rPr>
                <w:rFonts w:cstheme="minorHAnsi"/>
              </w:rPr>
            </w:pPr>
            <w:r>
              <w:t>0.0</w:t>
            </w:r>
          </w:p>
        </w:tc>
        <w:tc>
          <w:tcPr>
            <w:tcW w:w="932" w:type="dxa"/>
            <w:tcBorders>
              <w:top w:val="single" w:sz="4" w:space="0" w:color="000000"/>
              <w:left w:val="single" w:sz="4" w:space="0" w:color="000000"/>
              <w:bottom w:val="single" w:sz="4" w:space="0" w:color="000000"/>
              <w:right w:val="single" w:sz="4" w:space="0" w:color="000000"/>
            </w:tcBorders>
            <w:vAlign w:val="center"/>
          </w:tcPr>
          <w:p w14:paraId="2AF8833E" w14:textId="77777777" w:rsidR="00963AB6" w:rsidRPr="00053368" w:rsidRDefault="00724C64" w:rsidP="003E6550">
            <w:pPr>
              <w:spacing w:after="160" w:line="276" w:lineRule="auto"/>
              <w:jc w:val="center"/>
              <w:rPr>
                <w:rFonts w:cstheme="minorHAnsi"/>
              </w:rPr>
            </w:pPr>
            <w:r>
              <w:t>0.0</w:t>
            </w:r>
          </w:p>
        </w:tc>
        <w:tc>
          <w:tcPr>
            <w:tcW w:w="934" w:type="dxa"/>
            <w:tcBorders>
              <w:top w:val="single" w:sz="4" w:space="0" w:color="000000"/>
              <w:left w:val="single" w:sz="4" w:space="0" w:color="000000"/>
              <w:bottom w:val="single" w:sz="4" w:space="0" w:color="000000"/>
              <w:right w:val="single" w:sz="4" w:space="0" w:color="000000"/>
            </w:tcBorders>
            <w:vAlign w:val="center"/>
          </w:tcPr>
          <w:p w14:paraId="1ACFAC14" w14:textId="77777777" w:rsidR="00963AB6" w:rsidRPr="00053368" w:rsidRDefault="00724C64" w:rsidP="003E6550">
            <w:pPr>
              <w:spacing w:after="160" w:line="276" w:lineRule="auto"/>
              <w:jc w:val="center"/>
              <w:rPr>
                <w:rFonts w:cstheme="minorHAnsi"/>
              </w:rPr>
            </w:pPr>
            <w:r>
              <w:t>0.0</w:t>
            </w:r>
          </w:p>
        </w:tc>
      </w:tr>
      <w:tr w:rsidR="00963AB6" w:rsidRPr="0033055B" w14:paraId="1F86462A" w14:textId="77777777" w:rsidTr="007563F9">
        <w:trPr>
          <w:trHeight w:val="464"/>
          <w:jc w:val="center"/>
        </w:trPr>
        <w:tc>
          <w:tcPr>
            <w:tcW w:w="2835" w:type="dxa"/>
            <w:tcBorders>
              <w:top w:val="single" w:sz="4" w:space="0" w:color="000000"/>
              <w:left w:val="single" w:sz="4" w:space="0" w:color="000000"/>
              <w:bottom w:val="single" w:sz="4" w:space="0" w:color="000000"/>
              <w:right w:val="single" w:sz="4" w:space="0" w:color="000000"/>
            </w:tcBorders>
            <w:vAlign w:val="center"/>
          </w:tcPr>
          <w:p w14:paraId="7B88F032" w14:textId="77777777" w:rsidR="00963AB6" w:rsidRPr="00053368" w:rsidRDefault="00724C64" w:rsidP="003E6550">
            <w:pPr>
              <w:spacing w:after="160" w:line="276" w:lineRule="auto"/>
              <w:jc w:val="center"/>
              <w:rPr>
                <w:rFonts w:cstheme="minorHAnsi"/>
              </w:rPr>
            </w:pPr>
            <w:r>
              <w:t>Prej të cilave transport jo-rrugor</w:t>
            </w:r>
          </w:p>
        </w:tc>
        <w:tc>
          <w:tcPr>
            <w:tcW w:w="932" w:type="dxa"/>
            <w:tcBorders>
              <w:top w:val="single" w:sz="4" w:space="0" w:color="000000"/>
              <w:left w:val="single" w:sz="4" w:space="0" w:color="000000"/>
              <w:bottom w:val="single" w:sz="4" w:space="0" w:color="000000"/>
              <w:right w:val="single" w:sz="4" w:space="0" w:color="000000"/>
            </w:tcBorders>
            <w:vAlign w:val="center"/>
          </w:tcPr>
          <w:p w14:paraId="4F73A30D" w14:textId="77777777" w:rsidR="00963AB6" w:rsidRPr="00053368" w:rsidRDefault="00724C64" w:rsidP="003E6550">
            <w:pPr>
              <w:spacing w:after="160" w:line="276" w:lineRule="auto"/>
              <w:jc w:val="center"/>
              <w:rPr>
                <w:rFonts w:cstheme="minorHAnsi"/>
              </w:rPr>
            </w:pPr>
            <w:r>
              <w:t>0.0</w:t>
            </w:r>
          </w:p>
        </w:tc>
        <w:tc>
          <w:tcPr>
            <w:tcW w:w="932" w:type="dxa"/>
            <w:tcBorders>
              <w:top w:val="single" w:sz="4" w:space="0" w:color="000000"/>
              <w:left w:val="single" w:sz="4" w:space="0" w:color="000000"/>
              <w:bottom w:val="single" w:sz="4" w:space="0" w:color="000000"/>
              <w:right w:val="single" w:sz="4" w:space="0" w:color="000000"/>
            </w:tcBorders>
            <w:vAlign w:val="center"/>
          </w:tcPr>
          <w:p w14:paraId="2243115A" w14:textId="77777777" w:rsidR="00963AB6" w:rsidRPr="00053368" w:rsidRDefault="00724C64" w:rsidP="003E6550">
            <w:pPr>
              <w:spacing w:after="160" w:line="276" w:lineRule="auto"/>
              <w:jc w:val="center"/>
              <w:rPr>
                <w:rFonts w:cstheme="minorHAnsi"/>
              </w:rPr>
            </w:pPr>
            <w:r>
              <w:t>0.0</w:t>
            </w:r>
          </w:p>
        </w:tc>
        <w:tc>
          <w:tcPr>
            <w:tcW w:w="934" w:type="dxa"/>
            <w:tcBorders>
              <w:top w:val="single" w:sz="4" w:space="0" w:color="000000"/>
              <w:left w:val="single" w:sz="4" w:space="0" w:color="000000"/>
              <w:bottom w:val="single" w:sz="4" w:space="0" w:color="000000"/>
              <w:right w:val="single" w:sz="4" w:space="0" w:color="000000"/>
            </w:tcBorders>
            <w:vAlign w:val="center"/>
          </w:tcPr>
          <w:p w14:paraId="01FD6531" w14:textId="77777777" w:rsidR="00963AB6" w:rsidRPr="00053368" w:rsidRDefault="00724C64" w:rsidP="003E6550">
            <w:pPr>
              <w:spacing w:after="160" w:line="276" w:lineRule="auto"/>
              <w:jc w:val="center"/>
              <w:rPr>
                <w:rFonts w:cstheme="minorHAnsi"/>
              </w:rPr>
            </w:pPr>
            <w:r>
              <w:t>0.0</w:t>
            </w:r>
          </w:p>
        </w:tc>
        <w:tc>
          <w:tcPr>
            <w:tcW w:w="932" w:type="dxa"/>
            <w:tcBorders>
              <w:top w:val="single" w:sz="4" w:space="0" w:color="000000"/>
              <w:left w:val="single" w:sz="4" w:space="0" w:color="000000"/>
              <w:bottom w:val="single" w:sz="4" w:space="0" w:color="000000"/>
              <w:right w:val="single" w:sz="4" w:space="0" w:color="000000"/>
            </w:tcBorders>
            <w:vAlign w:val="center"/>
          </w:tcPr>
          <w:p w14:paraId="711FC4D1" w14:textId="77777777" w:rsidR="00963AB6" w:rsidRPr="00053368" w:rsidRDefault="00724C64" w:rsidP="003E6550">
            <w:pPr>
              <w:spacing w:after="160" w:line="276" w:lineRule="auto"/>
              <w:jc w:val="center"/>
              <w:rPr>
                <w:rFonts w:cstheme="minorHAnsi"/>
              </w:rPr>
            </w:pPr>
            <w:r>
              <w:t>0.0</w:t>
            </w:r>
          </w:p>
        </w:tc>
        <w:tc>
          <w:tcPr>
            <w:tcW w:w="934" w:type="dxa"/>
            <w:tcBorders>
              <w:top w:val="single" w:sz="4" w:space="0" w:color="000000"/>
              <w:left w:val="single" w:sz="4" w:space="0" w:color="000000"/>
              <w:bottom w:val="single" w:sz="4" w:space="0" w:color="000000"/>
              <w:right w:val="single" w:sz="4" w:space="0" w:color="000000"/>
            </w:tcBorders>
            <w:vAlign w:val="center"/>
          </w:tcPr>
          <w:p w14:paraId="6ACE72B9" w14:textId="77777777" w:rsidR="00963AB6" w:rsidRPr="00053368" w:rsidRDefault="00724C64" w:rsidP="003E6550">
            <w:pPr>
              <w:spacing w:after="160" w:line="276" w:lineRule="auto"/>
              <w:jc w:val="center"/>
              <w:rPr>
                <w:rFonts w:cstheme="minorHAnsi"/>
              </w:rPr>
            </w:pPr>
            <w:r>
              <w:t>0.0</w:t>
            </w:r>
          </w:p>
        </w:tc>
        <w:tc>
          <w:tcPr>
            <w:tcW w:w="932" w:type="dxa"/>
            <w:tcBorders>
              <w:top w:val="single" w:sz="4" w:space="0" w:color="000000"/>
              <w:left w:val="single" w:sz="4" w:space="0" w:color="000000"/>
              <w:bottom w:val="single" w:sz="4" w:space="0" w:color="000000"/>
              <w:right w:val="single" w:sz="4" w:space="0" w:color="000000"/>
            </w:tcBorders>
            <w:vAlign w:val="center"/>
          </w:tcPr>
          <w:p w14:paraId="0D140A3D" w14:textId="77777777" w:rsidR="00963AB6" w:rsidRPr="00053368" w:rsidRDefault="00724C64" w:rsidP="003E6550">
            <w:pPr>
              <w:spacing w:after="160" w:line="276" w:lineRule="auto"/>
              <w:jc w:val="center"/>
              <w:rPr>
                <w:rFonts w:cstheme="minorHAnsi"/>
              </w:rPr>
            </w:pPr>
            <w:r>
              <w:t>0.0</w:t>
            </w:r>
          </w:p>
        </w:tc>
        <w:tc>
          <w:tcPr>
            <w:tcW w:w="932" w:type="dxa"/>
            <w:tcBorders>
              <w:top w:val="single" w:sz="4" w:space="0" w:color="000000"/>
              <w:left w:val="single" w:sz="4" w:space="0" w:color="000000"/>
              <w:bottom w:val="single" w:sz="4" w:space="0" w:color="000000"/>
              <w:right w:val="single" w:sz="4" w:space="0" w:color="000000"/>
            </w:tcBorders>
            <w:vAlign w:val="center"/>
          </w:tcPr>
          <w:p w14:paraId="54D97058" w14:textId="77777777" w:rsidR="00963AB6" w:rsidRPr="00053368" w:rsidRDefault="00724C64" w:rsidP="003E6550">
            <w:pPr>
              <w:spacing w:after="160" w:line="276" w:lineRule="auto"/>
              <w:jc w:val="center"/>
              <w:rPr>
                <w:rFonts w:cstheme="minorHAnsi"/>
              </w:rPr>
            </w:pPr>
            <w:r>
              <w:t>0.0</w:t>
            </w:r>
          </w:p>
        </w:tc>
        <w:tc>
          <w:tcPr>
            <w:tcW w:w="934" w:type="dxa"/>
            <w:tcBorders>
              <w:top w:val="single" w:sz="4" w:space="0" w:color="000000"/>
              <w:left w:val="single" w:sz="4" w:space="0" w:color="000000"/>
              <w:bottom w:val="single" w:sz="4" w:space="0" w:color="000000"/>
              <w:right w:val="single" w:sz="4" w:space="0" w:color="000000"/>
            </w:tcBorders>
            <w:vAlign w:val="center"/>
          </w:tcPr>
          <w:p w14:paraId="34B7C3ED" w14:textId="77777777" w:rsidR="00963AB6" w:rsidRPr="00053368" w:rsidRDefault="00724C64" w:rsidP="003E6550">
            <w:pPr>
              <w:spacing w:after="160" w:line="276" w:lineRule="auto"/>
              <w:jc w:val="center"/>
              <w:rPr>
                <w:rFonts w:cstheme="minorHAnsi"/>
              </w:rPr>
            </w:pPr>
            <w:r>
              <w:t>0.0</w:t>
            </w:r>
          </w:p>
        </w:tc>
        <w:tc>
          <w:tcPr>
            <w:tcW w:w="932" w:type="dxa"/>
            <w:tcBorders>
              <w:top w:val="single" w:sz="4" w:space="0" w:color="000000"/>
              <w:left w:val="single" w:sz="4" w:space="0" w:color="000000"/>
              <w:bottom w:val="single" w:sz="4" w:space="0" w:color="000000"/>
              <w:right w:val="single" w:sz="4" w:space="0" w:color="000000"/>
            </w:tcBorders>
            <w:vAlign w:val="center"/>
          </w:tcPr>
          <w:p w14:paraId="08E41A6A" w14:textId="77777777" w:rsidR="00963AB6" w:rsidRPr="00053368" w:rsidRDefault="00724C64" w:rsidP="003E6550">
            <w:pPr>
              <w:spacing w:after="160" w:line="276" w:lineRule="auto"/>
              <w:jc w:val="center"/>
              <w:rPr>
                <w:rFonts w:cstheme="minorHAnsi"/>
              </w:rPr>
            </w:pPr>
            <w:r>
              <w:t>0.0</w:t>
            </w:r>
          </w:p>
        </w:tc>
        <w:tc>
          <w:tcPr>
            <w:tcW w:w="934" w:type="dxa"/>
            <w:tcBorders>
              <w:top w:val="single" w:sz="4" w:space="0" w:color="000000"/>
              <w:left w:val="single" w:sz="4" w:space="0" w:color="000000"/>
              <w:bottom w:val="single" w:sz="4" w:space="0" w:color="000000"/>
              <w:right w:val="single" w:sz="4" w:space="0" w:color="000000"/>
            </w:tcBorders>
            <w:vAlign w:val="center"/>
          </w:tcPr>
          <w:p w14:paraId="31D61AA4" w14:textId="77777777" w:rsidR="00963AB6" w:rsidRPr="00053368" w:rsidRDefault="00724C64" w:rsidP="003E6550">
            <w:pPr>
              <w:spacing w:after="160" w:line="276" w:lineRule="auto"/>
              <w:jc w:val="center"/>
              <w:rPr>
                <w:rFonts w:cstheme="minorHAnsi"/>
              </w:rPr>
            </w:pPr>
            <w:r>
              <w:t>0.0</w:t>
            </w:r>
          </w:p>
        </w:tc>
        <w:tc>
          <w:tcPr>
            <w:tcW w:w="932" w:type="dxa"/>
            <w:tcBorders>
              <w:top w:val="single" w:sz="4" w:space="0" w:color="000000"/>
              <w:left w:val="single" w:sz="4" w:space="0" w:color="000000"/>
              <w:bottom w:val="single" w:sz="4" w:space="0" w:color="000000"/>
              <w:right w:val="single" w:sz="4" w:space="0" w:color="000000"/>
            </w:tcBorders>
            <w:vAlign w:val="center"/>
          </w:tcPr>
          <w:p w14:paraId="7DC8E003" w14:textId="77777777" w:rsidR="00963AB6" w:rsidRPr="00053368" w:rsidRDefault="00724C64" w:rsidP="003E6550">
            <w:pPr>
              <w:spacing w:after="160" w:line="276" w:lineRule="auto"/>
              <w:jc w:val="center"/>
              <w:rPr>
                <w:rFonts w:cstheme="minorHAnsi"/>
              </w:rPr>
            </w:pPr>
            <w:r>
              <w:t>0.0</w:t>
            </w:r>
          </w:p>
        </w:tc>
        <w:tc>
          <w:tcPr>
            <w:tcW w:w="934" w:type="dxa"/>
            <w:tcBorders>
              <w:top w:val="single" w:sz="4" w:space="0" w:color="000000"/>
              <w:left w:val="single" w:sz="4" w:space="0" w:color="000000"/>
              <w:bottom w:val="single" w:sz="4" w:space="0" w:color="000000"/>
              <w:right w:val="single" w:sz="4" w:space="0" w:color="000000"/>
            </w:tcBorders>
            <w:vAlign w:val="center"/>
          </w:tcPr>
          <w:p w14:paraId="1E46DC83" w14:textId="77777777" w:rsidR="00963AB6" w:rsidRPr="00053368" w:rsidRDefault="00724C64" w:rsidP="003E6550">
            <w:pPr>
              <w:spacing w:after="160" w:line="276" w:lineRule="auto"/>
              <w:jc w:val="center"/>
              <w:rPr>
                <w:rFonts w:cstheme="minorHAnsi"/>
              </w:rPr>
            </w:pPr>
            <w:r>
              <w:t>0.0</w:t>
            </w:r>
          </w:p>
        </w:tc>
      </w:tr>
      <w:tr w:rsidR="00963AB6" w:rsidRPr="0033055B" w14:paraId="3EFD1B87" w14:textId="77777777" w:rsidTr="007563F9">
        <w:trPr>
          <w:trHeight w:val="514"/>
          <w:jc w:val="center"/>
        </w:trPr>
        <w:tc>
          <w:tcPr>
            <w:tcW w:w="2835" w:type="dxa"/>
            <w:tcBorders>
              <w:top w:val="single" w:sz="4" w:space="0" w:color="000000"/>
              <w:left w:val="single" w:sz="4" w:space="0" w:color="000000"/>
              <w:bottom w:val="single" w:sz="4" w:space="0" w:color="000000"/>
              <w:right w:val="single" w:sz="4" w:space="0" w:color="000000"/>
            </w:tcBorders>
          </w:tcPr>
          <w:p w14:paraId="7D3E720D" w14:textId="77777777" w:rsidR="00963AB6" w:rsidRPr="00053368" w:rsidRDefault="00724C64" w:rsidP="003E6550">
            <w:pPr>
              <w:spacing w:after="160" w:line="276" w:lineRule="auto"/>
              <w:jc w:val="center"/>
              <w:rPr>
                <w:rFonts w:cstheme="minorHAnsi"/>
              </w:rPr>
            </w:pPr>
            <w:r>
              <w:t>Të tjera (si bio-gazi, vajrat bimorë, etj.) - ju lutem specifikoni</w:t>
            </w:r>
          </w:p>
        </w:tc>
        <w:tc>
          <w:tcPr>
            <w:tcW w:w="932" w:type="dxa"/>
            <w:tcBorders>
              <w:top w:val="single" w:sz="4" w:space="0" w:color="000000"/>
              <w:left w:val="single" w:sz="4" w:space="0" w:color="000000"/>
              <w:bottom w:val="single" w:sz="4" w:space="0" w:color="000000"/>
              <w:right w:val="single" w:sz="4" w:space="0" w:color="000000"/>
            </w:tcBorders>
            <w:vAlign w:val="center"/>
          </w:tcPr>
          <w:p w14:paraId="5FAA50C9" w14:textId="77777777" w:rsidR="00963AB6" w:rsidRPr="00053368" w:rsidRDefault="00724C64" w:rsidP="003E6550">
            <w:pPr>
              <w:spacing w:after="160" w:line="276" w:lineRule="auto"/>
              <w:jc w:val="center"/>
              <w:rPr>
                <w:rFonts w:cstheme="minorHAnsi"/>
              </w:rPr>
            </w:pPr>
            <w:r>
              <w:t>0.0</w:t>
            </w:r>
          </w:p>
        </w:tc>
        <w:tc>
          <w:tcPr>
            <w:tcW w:w="932" w:type="dxa"/>
            <w:tcBorders>
              <w:top w:val="single" w:sz="4" w:space="0" w:color="000000"/>
              <w:left w:val="single" w:sz="4" w:space="0" w:color="000000"/>
              <w:bottom w:val="single" w:sz="4" w:space="0" w:color="000000"/>
              <w:right w:val="single" w:sz="4" w:space="0" w:color="000000"/>
            </w:tcBorders>
            <w:vAlign w:val="center"/>
          </w:tcPr>
          <w:p w14:paraId="23EA16CC" w14:textId="77777777" w:rsidR="00963AB6" w:rsidRPr="00053368" w:rsidRDefault="00724C64" w:rsidP="003E6550">
            <w:pPr>
              <w:spacing w:after="160" w:line="276" w:lineRule="auto"/>
              <w:jc w:val="center"/>
              <w:rPr>
                <w:rFonts w:cstheme="minorHAnsi"/>
              </w:rPr>
            </w:pPr>
            <w:r>
              <w:t>0.0</w:t>
            </w:r>
          </w:p>
        </w:tc>
        <w:tc>
          <w:tcPr>
            <w:tcW w:w="934" w:type="dxa"/>
            <w:tcBorders>
              <w:top w:val="single" w:sz="4" w:space="0" w:color="000000"/>
              <w:left w:val="single" w:sz="4" w:space="0" w:color="000000"/>
              <w:bottom w:val="single" w:sz="4" w:space="0" w:color="000000"/>
              <w:right w:val="single" w:sz="4" w:space="0" w:color="000000"/>
            </w:tcBorders>
            <w:vAlign w:val="center"/>
          </w:tcPr>
          <w:p w14:paraId="66795989" w14:textId="77777777" w:rsidR="00963AB6" w:rsidRPr="00053368" w:rsidRDefault="00724C64" w:rsidP="003E6550">
            <w:pPr>
              <w:spacing w:after="160" w:line="276" w:lineRule="auto"/>
              <w:jc w:val="center"/>
              <w:rPr>
                <w:rFonts w:cstheme="minorHAnsi"/>
              </w:rPr>
            </w:pPr>
            <w:r>
              <w:t>0.0</w:t>
            </w:r>
          </w:p>
        </w:tc>
        <w:tc>
          <w:tcPr>
            <w:tcW w:w="932" w:type="dxa"/>
            <w:tcBorders>
              <w:top w:val="single" w:sz="4" w:space="0" w:color="000000"/>
              <w:left w:val="single" w:sz="4" w:space="0" w:color="000000"/>
              <w:bottom w:val="single" w:sz="4" w:space="0" w:color="000000"/>
              <w:right w:val="single" w:sz="4" w:space="0" w:color="000000"/>
            </w:tcBorders>
            <w:vAlign w:val="center"/>
          </w:tcPr>
          <w:p w14:paraId="586CDD45" w14:textId="77777777" w:rsidR="00963AB6" w:rsidRPr="00053368" w:rsidRDefault="00724C64" w:rsidP="003E6550">
            <w:pPr>
              <w:spacing w:after="160" w:line="276" w:lineRule="auto"/>
              <w:jc w:val="center"/>
              <w:rPr>
                <w:rFonts w:cstheme="minorHAnsi"/>
              </w:rPr>
            </w:pPr>
            <w:r>
              <w:t>0.0</w:t>
            </w:r>
          </w:p>
        </w:tc>
        <w:tc>
          <w:tcPr>
            <w:tcW w:w="934" w:type="dxa"/>
            <w:tcBorders>
              <w:top w:val="single" w:sz="4" w:space="0" w:color="000000"/>
              <w:left w:val="single" w:sz="4" w:space="0" w:color="000000"/>
              <w:bottom w:val="single" w:sz="4" w:space="0" w:color="000000"/>
              <w:right w:val="single" w:sz="4" w:space="0" w:color="000000"/>
            </w:tcBorders>
            <w:vAlign w:val="center"/>
          </w:tcPr>
          <w:p w14:paraId="63718D9C" w14:textId="77777777" w:rsidR="00963AB6" w:rsidRPr="00053368" w:rsidRDefault="00724C64" w:rsidP="003E6550">
            <w:pPr>
              <w:spacing w:after="160" w:line="276" w:lineRule="auto"/>
              <w:jc w:val="center"/>
              <w:rPr>
                <w:rFonts w:cstheme="minorHAnsi"/>
              </w:rPr>
            </w:pPr>
            <w:r>
              <w:t>0.0</w:t>
            </w:r>
          </w:p>
        </w:tc>
        <w:tc>
          <w:tcPr>
            <w:tcW w:w="932" w:type="dxa"/>
            <w:tcBorders>
              <w:top w:val="single" w:sz="4" w:space="0" w:color="000000"/>
              <w:left w:val="single" w:sz="4" w:space="0" w:color="000000"/>
              <w:bottom w:val="single" w:sz="4" w:space="0" w:color="000000"/>
              <w:right w:val="single" w:sz="4" w:space="0" w:color="000000"/>
            </w:tcBorders>
            <w:vAlign w:val="center"/>
          </w:tcPr>
          <w:p w14:paraId="165288F1" w14:textId="77777777" w:rsidR="00963AB6" w:rsidRPr="00053368" w:rsidRDefault="00724C64" w:rsidP="003E6550">
            <w:pPr>
              <w:spacing w:after="160" w:line="276" w:lineRule="auto"/>
              <w:jc w:val="center"/>
              <w:rPr>
                <w:rFonts w:cstheme="minorHAnsi"/>
              </w:rPr>
            </w:pPr>
            <w:r>
              <w:t>0.0</w:t>
            </w:r>
          </w:p>
        </w:tc>
        <w:tc>
          <w:tcPr>
            <w:tcW w:w="932" w:type="dxa"/>
            <w:tcBorders>
              <w:top w:val="single" w:sz="4" w:space="0" w:color="000000"/>
              <w:left w:val="single" w:sz="4" w:space="0" w:color="000000"/>
              <w:bottom w:val="single" w:sz="4" w:space="0" w:color="000000"/>
              <w:right w:val="single" w:sz="4" w:space="0" w:color="000000"/>
            </w:tcBorders>
            <w:vAlign w:val="center"/>
          </w:tcPr>
          <w:p w14:paraId="775C5545" w14:textId="77777777" w:rsidR="00963AB6" w:rsidRPr="00053368" w:rsidRDefault="00724C64" w:rsidP="003E6550">
            <w:pPr>
              <w:spacing w:after="160" w:line="276" w:lineRule="auto"/>
              <w:jc w:val="center"/>
              <w:rPr>
                <w:rFonts w:cstheme="minorHAnsi"/>
              </w:rPr>
            </w:pPr>
            <w:r>
              <w:t>0.0</w:t>
            </w:r>
          </w:p>
        </w:tc>
        <w:tc>
          <w:tcPr>
            <w:tcW w:w="934" w:type="dxa"/>
            <w:tcBorders>
              <w:top w:val="single" w:sz="4" w:space="0" w:color="000000"/>
              <w:left w:val="single" w:sz="4" w:space="0" w:color="000000"/>
              <w:bottom w:val="single" w:sz="4" w:space="0" w:color="000000"/>
              <w:right w:val="single" w:sz="4" w:space="0" w:color="000000"/>
            </w:tcBorders>
            <w:vAlign w:val="center"/>
          </w:tcPr>
          <w:p w14:paraId="2C404276" w14:textId="77777777" w:rsidR="00963AB6" w:rsidRPr="00053368" w:rsidRDefault="00724C64" w:rsidP="003E6550">
            <w:pPr>
              <w:spacing w:after="160" w:line="276" w:lineRule="auto"/>
              <w:jc w:val="center"/>
              <w:rPr>
                <w:rFonts w:cstheme="minorHAnsi"/>
              </w:rPr>
            </w:pPr>
            <w:r>
              <w:t>0.0</w:t>
            </w:r>
          </w:p>
        </w:tc>
        <w:tc>
          <w:tcPr>
            <w:tcW w:w="932" w:type="dxa"/>
            <w:tcBorders>
              <w:top w:val="single" w:sz="4" w:space="0" w:color="000000"/>
              <w:left w:val="single" w:sz="4" w:space="0" w:color="000000"/>
              <w:bottom w:val="single" w:sz="4" w:space="0" w:color="000000"/>
              <w:right w:val="single" w:sz="4" w:space="0" w:color="000000"/>
            </w:tcBorders>
            <w:vAlign w:val="center"/>
          </w:tcPr>
          <w:p w14:paraId="38426F3A" w14:textId="77777777" w:rsidR="00963AB6" w:rsidRPr="00053368" w:rsidRDefault="00724C64" w:rsidP="003E6550">
            <w:pPr>
              <w:spacing w:after="160" w:line="276" w:lineRule="auto"/>
              <w:jc w:val="center"/>
              <w:rPr>
                <w:rFonts w:cstheme="minorHAnsi"/>
              </w:rPr>
            </w:pPr>
            <w:r>
              <w:t>0.0</w:t>
            </w:r>
          </w:p>
        </w:tc>
        <w:tc>
          <w:tcPr>
            <w:tcW w:w="934" w:type="dxa"/>
            <w:tcBorders>
              <w:top w:val="single" w:sz="4" w:space="0" w:color="000000"/>
              <w:left w:val="single" w:sz="4" w:space="0" w:color="000000"/>
              <w:bottom w:val="single" w:sz="4" w:space="0" w:color="000000"/>
              <w:right w:val="single" w:sz="4" w:space="0" w:color="000000"/>
            </w:tcBorders>
            <w:vAlign w:val="center"/>
          </w:tcPr>
          <w:p w14:paraId="67B1CD0C" w14:textId="77777777" w:rsidR="00963AB6" w:rsidRPr="00053368" w:rsidRDefault="00724C64" w:rsidP="003E6550">
            <w:pPr>
              <w:spacing w:after="160" w:line="276" w:lineRule="auto"/>
              <w:jc w:val="center"/>
              <w:rPr>
                <w:rFonts w:cstheme="minorHAnsi"/>
              </w:rPr>
            </w:pPr>
            <w:r>
              <w:t>0.0</w:t>
            </w:r>
          </w:p>
        </w:tc>
        <w:tc>
          <w:tcPr>
            <w:tcW w:w="932" w:type="dxa"/>
            <w:tcBorders>
              <w:top w:val="single" w:sz="4" w:space="0" w:color="000000"/>
              <w:left w:val="single" w:sz="4" w:space="0" w:color="000000"/>
              <w:bottom w:val="single" w:sz="4" w:space="0" w:color="000000"/>
              <w:right w:val="single" w:sz="4" w:space="0" w:color="000000"/>
            </w:tcBorders>
            <w:vAlign w:val="center"/>
          </w:tcPr>
          <w:p w14:paraId="2B14426B" w14:textId="77777777" w:rsidR="00963AB6" w:rsidRPr="00053368" w:rsidRDefault="00724C64" w:rsidP="003E6550">
            <w:pPr>
              <w:spacing w:after="160" w:line="276" w:lineRule="auto"/>
              <w:jc w:val="center"/>
              <w:rPr>
                <w:rFonts w:cstheme="minorHAnsi"/>
              </w:rPr>
            </w:pPr>
            <w:r>
              <w:t>0.0</w:t>
            </w:r>
          </w:p>
        </w:tc>
        <w:tc>
          <w:tcPr>
            <w:tcW w:w="934" w:type="dxa"/>
            <w:tcBorders>
              <w:top w:val="single" w:sz="4" w:space="0" w:color="000000"/>
              <w:left w:val="single" w:sz="4" w:space="0" w:color="000000"/>
              <w:bottom w:val="single" w:sz="4" w:space="0" w:color="000000"/>
              <w:right w:val="single" w:sz="4" w:space="0" w:color="000000"/>
            </w:tcBorders>
            <w:vAlign w:val="center"/>
          </w:tcPr>
          <w:p w14:paraId="4344BC6B" w14:textId="77777777" w:rsidR="00963AB6" w:rsidRPr="00053368" w:rsidRDefault="00724C64" w:rsidP="003E6550">
            <w:pPr>
              <w:spacing w:after="160" w:line="276" w:lineRule="auto"/>
              <w:jc w:val="center"/>
              <w:rPr>
                <w:rFonts w:cstheme="minorHAnsi"/>
              </w:rPr>
            </w:pPr>
            <w:r>
              <w:t>0.0</w:t>
            </w:r>
          </w:p>
        </w:tc>
      </w:tr>
      <w:tr w:rsidR="00963AB6" w:rsidRPr="0033055B" w14:paraId="1032D02E" w14:textId="77777777" w:rsidTr="007563F9">
        <w:trPr>
          <w:trHeight w:val="553"/>
          <w:jc w:val="center"/>
        </w:trPr>
        <w:tc>
          <w:tcPr>
            <w:tcW w:w="2835" w:type="dxa"/>
            <w:tcBorders>
              <w:top w:val="single" w:sz="4" w:space="0" w:color="000000"/>
              <w:left w:val="single" w:sz="4" w:space="0" w:color="000000"/>
              <w:bottom w:val="single" w:sz="4" w:space="0" w:color="000000"/>
              <w:right w:val="single" w:sz="4" w:space="0" w:color="000000"/>
            </w:tcBorders>
          </w:tcPr>
          <w:p w14:paraId="0F15EEE6" w14:textId="77777777" w:rsidR="00963AB6" w:rsidRPr="00053368" w:rsidRDefault="00724C64" w:rsidP="003E6550">
            <w:pPr>
              <w:spacing w:after="69" w:line="259" w:lineRule="auto"/>
              <w:jc w:val="center"/>
              <w:rPr>
                <w:rFonts w:cstheme="minorHAnsi"/>
              </w:rPr>
            </w:pPr>
            <w:r>
              <w:t>Prej të cilave biolëndë</w:t>
            </w:r>
          </w:p>
          <w:p w14:paraId="577AB3C3" w14:textId="77777777" w:rsidR="00963AB6" w:rsidRPr="00053368" w:rsidRDefault="00724C64" w:rsidP="003E6550">
            <w:pPr>
              <w:spacing w:after="160" w:line="276" w:lineRule="auto"/>
              <w:jc w:val="center"/>
              <w:rPr>
                <w:rFonts w:cstheme="minorHAnsi"/>
              </w:rPr>
            </w:pPr>
            <w:r>
              <w:t>Neni 21(2)</w:t>
            </w:r>
          </w:p>
        </w:tc>
        <w:tc>
          <w:tcPr>
            <w:tcW w:w="932" w:type="dxa"/>
            <w:tcBorders>
              <w:top w:val="single" w:sz="4" w:space="0" w:color="000000"/>
              <w:left w:val="single" w:sz="4" w:space="0" w:color="000000"/>
              <w:bottom w:val="single" w:sz="4" w:space="0" w:color="000000"/>
              <w:right w:val="single" w:sz="4" w:space="0" w:color="000000"/>
            </w:tcBorders>
            <w:vAlign w:val="center"/>
          </w:tcPr>
          <w:p w14:paraId="194F2140" w14:textId="77777777" w:rsidR="00963AB6" w:rsidRPr="00053368" w:rsidRDefault="00724C64" w:rsidP="003E6550">
            <w:pPr>
              <w:spacing w:after="160" w:line="276" w:lineRule="auto"/>
              <w:jc w:val="center"/>
              <w:rPr>
                <w:rFonts w:cstheme="minorHAnsi"/>
              </w:rPr>
            </w:pPr>
            <w:r>
              <w:t>0.0</w:t>
            </w:r>
          </w:p>
        </w:tc>
        <w:tc>
          <w:tcPr>
            <w:tcW w:w="932" w:type="dxa"/>
            <w:tcBorders>
              <w:top w:val="single" w:sz="4" w:space="0" w:color="000000"/>
              <w:left w:val="single" w:sz="4" w:space="0" w:color="000000"/>
              <w:bottom w:val="single" w:sz="4" w:space="0" w:color="000000"/>
              <w:right w:val="single" w:sz="4" w:space="0" w:color="000000"/>
            </w:tcBorders>
            <w:vAlign w:val="center"/>
          </w:tcPr>
          <w:p w14:paraId="0BBB4CD3" w14:textId="77777777" w:rsidR="00963AB6" w:rsidRPr="00053368" w:rsidRDefault="00724C64" w:rsidP="003E6550">
            <w:pPr>
              <w:spacing w:after="160" w:line="276" w:lineRule="auto"/>
              <w:jc w:val="center"/>
              <w:rPr>
                <w:rFonts w:cstheme="minorHAnsi"/>
              </w:rPr>
            </w:pPr>
            <w:r>
              <w:t>0.0</w:t>
            </w:r>
          </w:p>
        </w:tc>
        <w:tc>
          <w:tcPr>
            <w:tcW w:w="934" w:type="dxa"/>
            <w:tcBorders>
              <w:top w:val="single" w:sz="4" w:space="0" w:color="000000"/>
              <w:left w:val="single" w:sz="4" w:space="0" w:color="000000"/>
              <w:bottom w:val="single" w:sz="4" w:space="0" w:color="000000"/>
              <w:right w:val="single" w:sz="4" w:space="0" w:color="000000"/>
            </w:tcBorders>
            <w:vAlign w:val="center"/>
          </w:tcPr>
          <w:p w14:paraId="2B7EF373" w14:textId="77777777" w:rsidR="00963AB6" w:rsidRPr="00053368" w:rsidRDefault="00724C64" w:rsidP="003E6550">
            <w:pPr>
              <w:spacing w:after="160" w:line="276" w:lineRule="auto"/>
              <w:jc w:val="center"/>
              <w:rPr>
                <w:rFonts w:cstheme="minorHAnsi"/>
              </w:rPr>
            </w:pPr>
            <w:r>
              <w:t>0.0</w:t>
            </w:r>
          </w:p>
        </w:tc>
        <w:tc>
          <w:tcPr>
            <w:tcW w:w="932" w:type="dxa"/>
            <w:tcBorders>
              <w:top w:val="single" w:sz="4" w:space="0" w:color="000000"/>
              <w:left w:val="single" w:sz="4" w:space="0" w:color="000000"/>
              <w:bottom w:val="single" w:sz="4" w:space="0" w:color="000000"/>
              <w:right w:val="single" w:sz="4" w:space="0" w:color="000000"/>
            </w:tcBorders>
            <w:vAlign w:val="center"/>
          </w:tcPr>
          <w:p w14:paraId="404E507A" w14:textId="77777777" w:rsidR="00963AB6" w:rsidRPr="00053368" w:rsidRDefault="00724C64" w:rsidP="003E6550">
            <w:pPr>
              <w:spacing w:after="160" w:line="276" w:lineRule="auto"/>
              <w:jc w:val="center"/>
              <w:rPr>
                <w:rFonts w:cstheme="minorHAnsi"/>
              </w:rPr>
            </w:pPr>
            <w:r>
              <w:t>0.0</w:t>
            </w:r>
          </w:p>
        </w:tc>
        <w:tc>
          <w:tcPr>
            <w:tcW w:w="934" w:type="dxa"/>
            <w:tcBorders>
              <w:top w:val="single" w:sz="4" w:space="0" w:color="000000"/>
              <w:left w:val="single" w:sz="4" w:space="0" w:color="000000"/>
              <w:bottom w:val="single" w:sz="4" w:space="0" w:color="000000"/>
              <w:right w:val="single" w:sz="4" w:space="0" w:color="000000"/>
            </w:tcBorders>
            <w:vAlign w:val="center"/>
          </w:tcPr>
          <w:p w14:paraId="17724006" w14:textId="77777777" w:rsidR="00963AB6" w:rsidRPr="00053368" w:rsidRDefault="00724C64" w:rsidP="003E6550">
            <w:pPr>
              <w:spacing w:after="160" w:line="276" w:lineRule="auto"/>
              <w:jc w:val="center"/>
              <w:rPr>
                <w:rFonts w:cstheme="minorHAnsi"/>
              </w:rPr>
            </w:pPr>
            <w:r>
              <w:t>0.0</w:t>
            </w:r>
          </w:p>
        </w:tc>
        <w:tc>
          <w:tcPr>
            <w:tcW w:w="932" w:type="dxa"/>
            <w:tcBorders>
              <w:top w:val="single" w:sz="4" w:space="0" w:color="000000"/>
              <w:left w:val="single" w:sz="4" w:space="0" w:color="000000"/>
              <w:bottom w:val="single" w:sz="4" w:space="0" w:color="000000"/>
              <w:right w:val="single" w:sz="4" w:space="0" w:color="000000"/>
            </w:tcBorders>
            <w:vAlign w:val="center"/>
          </w:tcPr>
          <w:p w14:paraId="150EE8A5" w14:textId="77777777" w:rsidR="00963AB6" w:rsidRPr="00053368" w:rsidRDefault="00724C64" w:rsidP="003E6550">
            <w:pPr>
              <w:spacing w:after="160" w:line="276" w:lineRule="auto"/>
              <w:jc w:val="center"/>
              <w:rPr>
                <w:rFonts w:cstheme="minorHAnsi"/>
              </w:rPr>
            </w:pPr>
            <w:r>
              <w:t>0.0</w:t>
            </w:r>
          </w:p>
        </w:tc>
        <w:tc>
          <w:tcPr>
            <w:tcW w:w="932" w:type="dxa"/>
            <w:tcBorders>
              <w:top w:val="single" w:sz="4" w:space="0" w:color="000000"/>
              <w:left w:val="single" w:sz="4" w:space="0" w:color="000000"/>
              <w:bottom w:val="single" w:sz="4" w:space="0" w:color="000000"/>
              <w:right w:val="single" w:sz="4" w:space="0" w:color="000000"/>
            </w:tcBorders>
            <w:vAlign w:val="center"/>
          </w:tcPr>
          <w:p w14:paraId="77FFB9D6" w14:textId="77777777" w:rsidR="00963AB6" w:rsidRPr="00053368" w:rsidRDefault="00724C64" w:rsidP="003E6550">
            <w:pPr>
              <w:spacing w:after="160" w:line="276" w:lineRule="auto"/>
              <w:jc w:val="center"/>
              <w:rPr>
                <w:rFonts w:cstheme="minorHAnsi"/>
              </w:rPr>
            </w:pPr>
            <w:r>
              <w:t>0.0</w:t>
            </w:r>
          </w:p>
        </w:tc>
        <w:tc>
          <w:tcPr>
            <w:tcW w:w="934" w:type="dxa"/>
            <w:tcBorders>
              <w:top w:val="single" w:sz="4" w:space="0" w:color="000000"/>
              <w:left w:val="single" w:sz="4" w:space="0" w:color="000000"/>
              <w:bottom w:val="single" w:sz="4" w:space="0" w:color="000000"/>
              <w:right w:val="single" w:sz="4" w:space="0" w:color="000000"/>
            </w:tcBorders>
            <w:vAlign w:val="center"/>
          </w:tcPr>
          <w:p w14:paraId="288933EA" w14:textId="77777777" w:rsidR="00963AB6" w:rsidRPr="00053368" w:rsidRDefault="00724C64" w:rsidP="003E6550">
            <w:pPr>
              <w:spacing w:after="160" w:line="276" w:lineRule="auto"/>
              <w:jc w:val="center"/>
              <w:rPr>
                <w:rFonts w:cstheme="minorHAnsi"/>
              </w:rPr>
            </w:pPr>
            <w:r>
              <w:t>0.0</w:t>
            </w:r>
          </w:p>
        </w:tc>
        <w:tc>
          <w:tcPr>
            <w:tcW w:w="932" w:type="dxa"/>
            <w:tcBorders>
              <w:top w:val="single" w:sz="4" w:space="0" w:color="000000"/>
              <w:left w:val="single" w:sz="4" w:space="0" w:color="000000"/>
              <w:bottom w:val="single" w:sz="4" w:space="0" w:color="000000"/>
              <w:right w:val="single" w:sz="4" w:space="0" w:color="000000"/>
            </w:tcBorders>
            <w:vAlign w:val="center"/>
          </w:tcPr>
          <w:p w14:paraId="32996483" w14:textId="77777777" w:rsidR="00963AB6" w:rsidRPr="00053368" w:rsidRDefault="00724C64" w:rsidP="003E6550">
            <w:pPr>
              <w:spacing w:after="160" w:line="276" w:lineRule="auto"/>
              <w:jc w:val="center"/>
              <w:rPr>
                <w:rFonts w:cstheme="minorHAnsi"/>
              </w:rPr>
            </w:pPr>
            <w:r>
              <w:t>0.0</w:t>
            </w:r>
          </w:p>
        </w:tc>
        <w:tc>
          <w:tcPr>
            <w:tcW w:w="934" w:type="dxa"/>
            <w:tcBorders>
              <w:top w:val="single" w:sz="4" w:space="0" w:color="000000"/>
              <w:left w:val="single" w:sz="4" w:space="0" w:color="000000"/>
              <w:bottom w:val="single" w:sz="4" w:space="0" w:color="000000"/>
              <w:right w:val="single" w:sz="4" w:space="0" w:color="000000"/>
            </w:tcBorders>
            <w:vAlign w:val="center"/>
          </w:tcPr>
          <w:p w14:paraId="41B1BA86" w14:textId="77777777" w:rsidR="00963AB6" w:rsidRPr="00053368" w:rsidRDefault="00724C64" w:rsidP="003E6550">
            <w:pPr>
              <w:spacing w:after="160" w:line="276" w:lineRule="auto"/>
              <w:jc w:val="center"/>
              <w:rPr>
                <w:rFonts w:cstheme="minorHAnsi"/>
              </w:rPr>
            </w:pPr>
            <w:r>
              <w:t>0.0</w:t>
            </w:r>
          </w:p>
        </w:tc>
        <w:tc>
          <w:tcPr>
            <w:tcW w:w="932" w:type="dxa"/>
            <w:tcBorders>
              <w:top w:val="single" w:sz="4" w:space="0" w:color="000000"/>
              <w:left w:val="single" w:sz="4" w:space="0" w:color="000000"/>
              <w:bottom w:val="single" w:sz="4" w:space="0" w:color="000000"/>
              <w:right w:val="single" w:sz="4" w:space="0" w:color="000000"/>
            </w:tcBorders>
            <w:vAlign w:val="center"/>
          </w:tcPr>
          <w:p w14:paraId="5A4D84B7" w14:textId="77777777" w:rsidR="00963AB6" w:rsidRPr="00053368" w:rsidRDefault="00724C64" w:rsidP="003E6550">
            <w:pPr>
              <w:spacing w:after="160" w:line="276" w:lineRule="auto"/>
              <w:jc w:val="center"/>
              <w:rPr>
                <w:rFonts w:cstheme="minorHAnsi"/>
              </w:rPr>
            </w:pPr>
            <w:r>
              <w:t>0.0</w:t>
            </w:r>
          </w:p>
        </w:tc>
        <w:tc>
          <w:tcPr>
            <w:tcW w:w="934" w:type="dxa"/>
            <w:tcBorders>
              <w:top w:val="single" w:sz="4" w:space="0" w:color="000000"/>
              <w:left w:val="single" w:sz="4" w:space="0" w:color="000000"/>
              <w:bottom w:val="single" w:sz="4" w:space="0" w:color="000000"/>
              <w:right w:val="single" w:sz="4" w:space="0" w:color="000000"/>
            </w:tcBorders>
            <w:vAlign w:val="center"/>
          </w:tcPr>
          <w:p w14:paraId="6AE938BE" w14:textId="77777777" w:rsidR="00963AB6" w:rsidRPr="00053368" w:rsidRDefault="00724C64" w:rsidP="003E6550">
            <w:pPr>
              <w:spacing w:after="160" w:line="276" w:lineRule="auto"/>
              <w:jc w:val="center"/>
              <w:rPr>
                <w:rFonts w:cstheme="minorHAnsi"/>
              </w:rPr>
            </w:pPr>
            <w:r>
              <w:t>0.0</w:t>
            </w:r>
          </w:p>
        </w:tc>
      </w:tr>
      <w:tr w:rsidR="00963AB6" w:rsidRPr="0033055B" w14:paraId="4D97ABE7" w14:textId="77777777" w:rsidTr="007563F9">
        <w:trPr>
          <w:trHeight w:val="464"/>
          <w:jc w:val="center"/>
        </w:trPr>
        <w:tc>
          <w:tcPr>
            <w:tcW w:w="2835" w:type="dxa"/>
            <w:tcBorders>
              <w:top w:val="single" w:sz="4" w:space="0" w:color="000000"/>
              <w:left w:val="single" w:sz="4" w:space="0" w:color="000000"/>
              <w:bottom w:val="single" w:sz="4" w:space="0" w:color="000000"/>
              <w:right w:val="single" w:sz="4" w:space="0" w:color="000000"/>
            </w:tcBorders>
            <w:vAlign w:val="center"/>
          </w:tcPr>
          <w:p w14:paraId="086931A2" w14:textId="77777777" w:rsidR="00963AB6" w:rsidRPr="00053368" w:rsidRDefault="00724C64" w:rsidP="003E6550">
            <w:pPr>
              <w:spacing w:after="160" w:line="276" w:lineRule="auto"/>
              <w:jc w:val="center"/>
              <w:rPr>
                <w:rFonts w:cstheme="minorHAnsi"/>
              </w:rPr>
            </w:pPr>
            <w:r>
              <w:rPr>
                <w:b/>
              </w:rPr>
              <w:t>Gjithsej</w:t>
            </w:r>
          </w:p>
        </w:tc>
        <w:tc>
          <w:tcPr>
            <w:tcW w:w="932" w:type="dxa"/>
            <w:tcBorders>
              <w:top w:val="single" w:sz="4" w:space="0" w:color="000000"/>
              <w:left w:val="single" w:sz="4" w:space="0" w:color="000000"/>
              <w:bottom w:val="single" w:sz="4" w:space="0" w:color="000000"/>
              <w:right w:val="single" w:sz="4" w:space="0" w:color="000000"/>
            </w:tcBorders>
            <w:vAlign w:val="center"/>
          </w:tcPr>
          <w:p w14:paraId="46A1BAD0" w14:textId="77777777" w:rsidR="00963AB6" w:rsidRPr="00053368" w:rsidRDefault="00724C64" w:rsidP="003E6550">
            <w:pPr>
              <w:spacing w:after="160" w:line="276" w:lineRule="auto"/>
              <w:jc w:val="center"/>
              <w:rPr>
                <w:rFonts w:cstheme="minorHAnsi"/>
              </w:rPr>
            </w:pPr>
            <w:r>
              <w:rPr>
                <w:b/>
              </w:rPr>
              <w:t>0.00</w:t>
            </w:r>
          </w:p>
        </w:tc>
        <w:tc>
          <w:tcPr>
            <w:tcW w:w="932" w:type="dxa"/>
            <w:tcBorders>
              <w:top w:val="single" w:sz="4" w:space="0" w:color="000000"/>
              <w:left w:val="single" w:sz="4" w:space="0" w:color="000000"/>
              <w:bottom w:val="single" w:sz="4" w:space="0" w:color="000000"/>
              <w:right w:val="single" w:sz="4" w:space="0" w:color="000000"/>
            </w:tcBorders>
            <w:vAlign w:val="center"/>
          </w:tcPr>
          <w:p w14:paraId="4588A8C9" w14:textId="77777777" w:rsidR="00963AB6" w:rsidRPr="00053368" w:rsidRDefault="00724C64" w:rsidP="003E6550">
            <w:pPr>
              <w:spacing w:after="160" w:line="276" w:lineRule="auto"/>
              <w:jc w:val="center"/>
              <w:rPr>
                <w:rFonts w:cstheme="minorHAnsi"/>
              </w:rPr>
            </w:pPr>
            <w:r>
              <w:rPr>
                <w:b/>
              </w:rPr>
              <w:t>0.00</w:t>
            </w:r>
          </w:p>
        </w:tc>
        <w:tc>
          <w:tcPr>
            <w:tcW w:w="934" w:type="dxa"/>
            <w:tcBorders>
              <w:top w:val="single" w:sz="4" w:space="0" w:color="000000"/>
              <w:left w:val="single" w:sz="4" w:space="0" w:color="000000"/>
              <w:bottom w:val="single" w:sz="4" w:space="0" w:color="000000"/>
              <w:right w:val="single" w:sz="4" w:space="0" w:color="000000"/>
            </w:tcBorders>
            <w:vAlign w:val="center"/>
          </w:tcPr>
          <w:p w14:paraId="26BFFE17" w14:textId="77777777" w:rsidR="00963AB6" w:rsidRPr="00053368" w:rsidRDefault="00724C64" w:rsidP="003E6550">
            <w:pPr>
              <w:spacing w:after="160" w:line="276" w:lineRule="auto"/>
              <w:jc w:val="center"/>
              <w:rPr>
                <w:rFonts w:cstheme="minorHAnsi"/>
              </w:rPr>
            </w:pPr>
            <w:r>
              <w:rPr>
                <w:b/>
              </w:rPr>
              <w:t>0.00</w:t>
            </w:r>
          </w:p>
        </w:tc>
        <w:tc>
          <w:tcPr>
            <w:tcW w:w="932" w:type="dxa"/>
            <w:tcBorders>
              <w:top w:val="single" w:sz="4" w:space="0" w:color="000000"/>
              <w:left w:val="single" w:sz="4" w:space="0" w:color="000000"/>
              <w:bottom w:val="single" w:sz="4" w:space="0" w:color="000000"/>
              <w:right w:val="single" w:sz="4" w:space="0" w:color="000000"/>
            </w:tcBorders>
            <w:vAlign w:val="center"/>
          </w:tcPr>
          <w:p w14:paraId="2E836E61" w14:textId="77777777" w:rsidR="00963AB6" w:rsidRPr="00053368" w:rsidRDefault="00724C64" w:rsidP="003E6550">
            <w:pPr>
              <w:spacing w:after="160" w:line="276" w:lineRule="auto"/>
              <w:jc w:val="center"/>
              <w:rPr>
                <w:rFonts w:cstheme="minorHAnsi"/>
              </w:rPr>
            </w:pPr>
            <w:r>
              <w:rPr>
                <w:b/>
              </w:rPr>
              <w:t>0.00</w:t>
            </w:r>
          </w:p>
        </w:tc>
        <w:tc>
          <w:tcPr>
            <w:tcW w:w="934" w:type="dxa"/>
            <w:tcBorders>
              <w:top w:val="single" w:sz="4" w:space="0" w:color="000000"/>
              <w:left w:val="single" w:sz="4" w:space="0" w:color="000000"/>
              <w:bottom w:val="single" w:sz="4" w:space="0" w:color="000000"/>
              <w:right w:val="single" w:sz="4" w:space="0" w:color="000000"/>
            </w:tcBorders>
            <w:vAlign w:val="center"/>
          </w:tcPr>
          <w:p w14:paraId="032E57A8" w14:textId="77777777" w:rsidR="00963AB6" w:rsidRPr="00053368" w:rsidRDefault="00724C64" w:rsidP="003E6550">
            <w:pPr>
              <w:spacing w:after="160" w:line="276" w:lineRule="auto"/>
              <w:jc w:val="center"/>
              <w:rPr>
                <w:rFonts w:cstheme="minorHAnsi"/>
              </w:rPr>
            </w:pPr>
            <w:r>
              <w:rPr>
                <w:b/>
              </w:rPr>
              <w:t>0.00</w:t>
            </w:r>
          </w:p>
        </w:tc>
        <w:tc>
          <w:tcPr>
            <w:tcW w:w="932" w:type="dxa"/>
            <w:tcBorders>
              <w:top w:val="single" w:sz="4" w:space="0" w:color="000000"/>
              <w:left w:val="single" w:sz="4" w:space="0" w:color="000000"/>
              <w:bottom w:val="single" w:sz="4" w:space="0" w:color="000000"/>
              <w:right w:val="single" w:sz="4" w:space="0" w:color="000000"/>
            </w:tcBorders>
            <w:vAlign w:val="center"/>
          </w:tcPr>
          <w:p w14:paraId="23E58866" w14:textId="77777777" w:rsidR="00963AB6" w:rsidRPr="00053368" w:rsidRDefault="00724C64" w:rsidP="003E6550">
            <w:pPr>
              <w:spacing w:after="160" w:line="276" w:lineRule="auto"/>
              <w:jc w:val="center"/>
              <w:rPr>
                <w:rFonts w:cstheme="minorHAnsi"/>
              </w:rPr>
            </w:pPr>
            <w:r>
              <w:rPr>
                <w:b/>
              </w:rPr>
              <w:t>0.00</w:t>
            </w:r>
          </w:p>
        </w:tc>
        <w:tc>
          <w:tcPr>
            <w:tcW w:w="932" w:type="dxa"/>
            <w:tcBorders>
              <w:top w:val="single" w:sz="4" w:space="0" w:color="000000"/>
              <w:left w:val="single" w:sz="4" w:space="0" w:color="000000"/>
              <w:bottom w:val="single" w:sz="4" w:space="0" w:color="000000"/>
              <w:right w:val="single" w:sz="4" w:space="0" w:color="000000"/>
            </w:tcBorders>
            <w:vAlign w:val="center"/>
          </w:tcPr>
          <w:p w14:paraId="37AE65A8" w14:textId="77777777" w:rsidR="00963AB6" w:rsidRPr="00053368" w:rsidRDefault="00724C64" w:rsidP="003E6550">
            <w:pPr>
              <w:spacing w:after="160" w:line="276" w:lineRule="auto"/>
              <w:jc w:val="center"/>
              <w:rPr>
                <w:rFonts w:cstheme="minorHAnsi"/>
              </w:rPr>
            </w:pPr>
            <w:r>
              <w:rPr>
                <w:b/>
              </w:rPr>
              <w:t>0.00</w:t>
            </w:r>
          </w:p>
        </w:tc>
        <w:tc>
          <w:tcPr>
            <w:tcW w:w="934" w:type="dxa"/>
            <w:tcBorders>
              <w:top w:val="single" w:sz="4" w:space="0" w:color="000000"/>
              <w:left w:val="single" w:sz="4" w:space="0" w:color="000000"/>
              <w:bottom w:val="single" w:sz="4" w:space="0" w:color="000000"/>
              <w:right w:val="single" w:sz="4" w:space="0" w:color="000000"/>
            </w:tcBorders>
            <w:vAlign w:val="center"/>
          </w:tcPr>
          <w:p w14:paraId="387EBC24" w14:textId="77777777" w:rsidR="00963AB6" w:rsidRPr="00053368" w:rsidRDefault="00724C64" w:rsidP="003E6550">
            <w:pPr>
              <w:spacing w:after="160" w:line="276" w:lineRule="auto"/>
              <w:jc w:val="center"/>
              <w:rPr>
                <w:rFonts w:cstheme="minorHAnsi"/>
              </w:rPr>
            </w:pPr>
            <w:r>
              <w:rPr>
                <w:b/>
              </w:rPr>
              <w:t>0.00</w:t>
            </w:r>
          </w:p>
        </w:tc>
        <w:tc>
          <w:tcPr>
            <w:tcW w:w="932" w:type="dxa"/>
            <w:tcBorders>
              <w:top w:val="single" w:sz="4" w:space="0" w:color="000000"/>
              <w:left w:val="single" w:sz="4" w:space="0" w:color="000000"/>
              <w:bottom w:val="single" w:sz="4" w:space="0" w:color="000000"/>
              <w:right w:val="single" w:sz="4" w:space="0" w:color="000000"/>
            </w:tcBorders>
            <w:vAlign w:val="center"/>
          </w:tcPr>
          <w:p w14:paraId="7104904F" w14:textId="77777777" w:rsidR="00963AB6" w:rsidRPr="00053368" w:rsidRDefault="00724C64" w:rsidP="003E6550">
            <w:pPr>
              <w:spacing w:after="160" w:line="276" w:lineRule="auto"/>
              <w:jc w:val="center"/>
              <w:rPr>
                <w:rFonts w:cstheme="minorHAnsi"/>
              </w:rPr>
            </w:pPr>
            <w:r>
              <w:rPr>
                <w:b/>
              </w:rPr>
              <w:t>0.00</w:t>
            </w:r>
          </w:p>
        </w:tc>
        <w:tc>
          <w:tcPr>
            <w:tcW w:w="934" w:type="dxa"/>
            <w:tcBorders>
              <w:top w:val="single" w:sz="4" w:space="0" w:color="000000"/>
              <w:left w:val="single" w:sz="4" w:space="0" w:color="000000"/>
              <w:bottom w:val="single" w:sz="4" w:space="0" w:color="000000"/>
              <w:right w:val="single" w:sz="4" w:space="0" w:color="000000"/>
            </w:tcBorders>
            <w:vAlign w:val="center"/>
          </w:tcPr>
          <w:p w14:paraId="572121BB" w14:textId="7D669233" w:rsidR="00963AB6" w:rsidRPr="00053368" w:rsidRDefault="0071093E" w:rsidP="003E6550">
            <w:pPr>
              <w:spacing w:after="160" w:line="276" w:lineRule="auto"/>
              <w:jc w:val="center"/>
              <w:rPr>
                <w:rFonts w:cstheme="minorHAnsi"/>
              </w:rPr>
            </w:pPr>
            <w:r>
              <w:rPr>
                <w:b/>
              </w:rPr>
              <w:t>0.0</w:t>
            </w:r>
          </w:p>
        </w:tc>
        <w:tc>
          <w:tcPr>
            <w:tcW w:w="932" w:type="dxa"/>
            <w:tcBorders>
              <w:top w:val="single" w:sz="4" w:space="0" w:color="000000"/>
              <w:left w:val="single" w:sz="4" w:space="0" w:color="000000"/>
              <w:bottom w:val="single" w:sz="4" w:space="0" w:color="000000"/>
              <w:right w:val="single" w:sz="4" w:space="0" w:color="000000"/>
            </w:tcBorders>
            <w:vAlign w:val="center"/>
          </w:tcPr>
          <w:p w14:paraId="2D17E6AA" w14:textId="77777777" w:rsidR="00963AB6" w:rsidRPr="00053368" w:rsidRDefault="00724C64" w:rsidP="003E6550">
            <w:pPr>
              <w:spacing w:after="160" w:line="276" w:lineRule="auto"/>
              <w:jc w:val="center"/>
              <w:rPr>
                <w:rFonts w:cstheme="minorHAnsi"/>
              </w:rPr>
            </w:pPr>
            <w:r>
              <w:rPr>
                <w:b/>
              </w:rPr>
              <w:t>19.5</w:t>
            </w:r>
          </w:p>
        </w:tc>
        <w:tc>
          <w:tcPr>
            <w:tcW w:w="934" w:type="dxa"/>
            <w:tcBorders>
              <w:top w:val="single" w:sz="4" w:space="0" w:color="000000"/>
              <w:left w:val="single" w:sz="4" w:space="0" w:color="000000"/>
              <w:bottom w:val="single" w:sz="4" w:space="0" w:color="000000"/>
              <w:right w:val="single" w:sz="4" w:space="0" w:color="000000"/>
            </w:tcBorders>
            <w:vAlign w:val="center"/>
          </w:tcPr>
          <w:p w14:paraId="08F8D889" w14:textId="77777777" w:rsidR="00963AB6" w:rsidRPr="00053368" w:rsidRDefault="00724C64" w:rsidP="003E6550">
            <w:pPr>
              <w:spacing w:after="160" w:line="276" w:lineRule="auto"/>
              <w:jc w:val="center"/>
              <w:rPr>
                <w:rFonts w:cstheme="minorHAnsi"/>
              </w:rPr>
            </w:pPr>
            <w:r>
              <w:rPr>
                <w:b/>
              </w:rPr>
              <w:t>39.7</w:t>
            </w:r>
          </w:p>
        </w:tc>
      </w:tr>
    </w:tbl>
    <w:p w14:paraId="4EAA963B" w14:textId="77777777" w:rsidR="004E165A" w:rsidRPr="00053368" w:rsidRDefault="004E165A" w:rsidP="00D54031">
      <w:pPr>
        <w:spacing w:before="120" w:after="120" w:line="240" w:lineRule="auto"/>
        <w:jc w:val="both"/>
        <w:rPr>
          <w:rFonts w:cstheme="minorHAnsi"/>
          <w:b/>
          <w:lang w:val="en-GB"/>
        </w:rPr>
      </w:pPr>
    </w:p>
    <w:p w14:paraId="0152430F" w14:textId="77777777" w:rsidR="004E165A" w:rsidRPr="00053368" w:rsidRDefault="004E165A" w:rsidP="00D54031">
      <w:pPr>
        <w:spacing w:before="120" w:after="120" w:line="240" w:lineRule="auto"/>
        <w:jc w:val="both"/>
        <w:rPr>
          <w:rFonts w:cstheme="minorHAnsi"/>
          <w:b/>
          <w:lang w:val="en-GB"/>
        </w:rPr>
        <w:sectPr w:rsidR="004E165A" w:rsidRPr="00053368" w:rsidSect="007563F9">
          <w:footerReference w:type="even" r:id="rId15"/>
          <w:footerReference w:type="default" r:id="rId16"/>
          <w:footerReference w:type="first" r:id="rId17"/>
          <w:pgSz w:w="15840" w:h="12240" w:orient="landscape"/>
          <w:pgMar w:top="1440" w:right="1440" w:bottom="1440" w:left="1440" w:header="720" w:footer="720" w:gutter="0"/>
          <w:cols w:space="720"/>
          <w:docGrid w:linePitch="360"/>
        </w:sectPr>
      </w:pPr>
    </w:p>
    <w:p w14:paraId="4BE33FF6" w14:textId="77777777" w:rsidR="00D54031" w:rsidRPr="002920FA" w:rsidRDefault="00724C64" w:rsidP="002920FA">
      <w:pPr>
        <w:pStyle w:val="Heading2"/>
      </w:pPr>
      <w:bookmarkStart w:id="45" w:name="_Toc518377692"/>
      <w:r>
        <w:t>5.2. Kontributi total i pritur nga masat e efiçiencës së energjisë dhe kursimit të energjisë për arritjen e caqeve obligative të vitit 2020 si dhe trajektorja indikative e përkohshme për pjesën e energjisë nga burimet e ripërtërishme në energji elektrike, ngrohje e ftohje, si dhe transport</w:t>
      </w:r>
      <w:bookmarkEnd w:id="45"/>
      <w:r>
        <w:t xml:space="preserve"> </w:t>
      </w:r>
    </w:p>
    <w:p w14:paraId="68198BF8" w14:textId="77777777" w:rsidR="00D54031" w:rsidRPr="002920FA" w:rsidRDefault="00724C64" w:rsidP="00D54031">
      <w:pPr>
        <w:spacing w:before="120" w:after="120" w:line="240" w:lineRule="auto"/>
        <w:jc w:val="both"/>
        <w:rPr>
          <w:rFonts w:cstheme="minorHAnsi"/>
        </w:rPr>
      </w:pPr>
      <w:r>
        <w:t xml:space="preserve">Kontributi i pritur nga masat e efiçiencës së energjisë dhe kursimit të energjisë të trajtuara në këtë PSHVER është nxjerrë nga Plani Kosovar i Veprimit për Efiçiencën e Energjisë, miratuar nga Ministria e Zhvillimit Ekonomik. PKVEE-ja e Kosovës (2010-2018) parasheh cakun indikativ prej 9% të 1021.08 ktoe që të arrihet deri në fund të periudhës (2010-2018). Kështu, sasia e energjisë që Kosova synon të kursejë deri në fund të vitit 2018 është 91,89 ktoe. </w:t>
      </w:r>
    </w:p>
    <w:p w14:paraId="371B98F6" w14:textId="77777777" w:rsidR="00D54031" w:rsidRPr="002920FA" w:rsidRDefault="00724C64" w:rsidP="00D54031">
      <w:pPr>
        <w:spacing w:before="120" w:after="120" w:line="240" w:lineRule="auto"/>
        <w:jc w:val="both"/>
        <w:rPr>
          <w:rFonts w:cstheme="minorHAnsi"/>
        </w:rPr>
      </w:pPr>
      <w:r>
        <w:t>Në PSHVER, që është dorëzuar më 2013, janë marrë në konsideratë dy skenarë të konsumit bruto final të energjisë, gjegjësisht “skenari referent” dhe “skenari i efiçiencës plotësuese të energjisë”. Dallimi ndërmjet këtyre dy skenarëve në vitin 2018 përmban sasinë e pritur të kursimeve finale të energjisë, siç është paraparë me Planin Kosovar të Veprimit për Efiçiencën e Energjisë.</w:t>
      </w:r>
    </w:p>
    <w:p w14:paraId="38C7F67A" w14:textId="77777777" w:rsidR="00D54031" w:rsidRPr="002920FA" w:rsidRDefault="00724C64" w:rsidP="00D54031">
      <w:pPr>
        <w:spacing w:before="120" w:after="120" w:line="240" w:lineRule="auto"/>
        <w:jc w:val="both"/>
        <w:rPr>
          <w:rFonts w:cstheme="minorHAnsi"/>
        </w:rPr>
      </w:pPr>
      <w:r>
        <w:t>Konsumi përfundimtar i energjisë sipas sektorit të konsumit fundor është prezantuar në Figurën 2 në pajtim me të dhënat e Eurostat-it.</w:t>
      </w:r>
    </w:p>
    <w:p w14:paraId="6A476961" w14:textId="77777777" w:rsidR="00D54031" w:rsidRPr="002920FA" w:rsidRDefault="00D027A0" w:rsidP="007563F9">
      <w:pPr>
        <w:spacing w:before="120" w:after="120" w:line="240" w:lineRule="auto"/>
        <w:jc w:val="center"/>
        <w:rPr>
          <w:rFonts w:cstheme="minorHAnsi"/>
        </w:rPr>
      </w:pPr>
      <w:r w:rsidRPr="009E6541">
        <w:rPr>
          <w:rFonts w:cstheme="minorHAnsi"/>
          <w:noProof/>
          <w:lang w:val="en-US"/>
        </w:rPr>
        <w:drawing>
          <wp:inline distT="0" distB="0" distL="0" distR="0" wp14:anchorId="2F422E7D" wp14:editId="18FE5032">
            <wp:extent cx="5036398" cy="36576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36398" cy="3657600"/>
                    </a:xfrm>
                    <a:prstGeom prst="rect">
                      <a:avLst/>
                    </a:prstGeom>
                    <a:noFill/>
                  </pic:spPr>
                </pic:pic>
              </a:graphicData>
            </a:graphic>
          </wp:inline>
        </w:drawing>
      </w:r>
    </w:p>
    <w:p w14:paraId="50A29DE1" w14:textId="71B2F752" w:rsidR="00D54031" w:rsidRPr="002920FA" w:rsidRDefault="00724C64" w:rsidP="007563F9">
      <w:pPr>
        <w:spacing w:before="120" w:after="120" w:line="240" w:lineRule="auto"/>
        <w:jc w:val="center"/>
        <w:rPr>
          <w:rFonts w:cstheme="minorHAnsi"/>
        </w:rPr>
      </w:pPr>
      <w:bookmarkStart w:id="46" w:name="_Toc518377713"/>
      <w:r>
        <w:rPr>
          <w:rFonts w:ascii="Calibri" w:hAnsi="Calibri"/>
          <w:b/>
          <w:iCs/>
        </w:rPr>
        <w:t xml:space="preserve">Figura </w:t>
      </w:r>
      <w:r w:rsidRPr="002920FA">
        <w:rPr>
          <w:rFonts w:ascii="Calibri" w:eastAsia="Calibri" w:hAnsi="Calibri"/>
          <w:b/>
          <w:iCs/>
        </w:rPr>
        <w:fldChar w:fldCharType="begin"/>
      </w:r>
      <w:r w:rsidRPr="002920FA">
        <w:rPr>
          <w:rFonts w:ascii="Calibri" w:eastAsia="Calibri" w:hAnsi="Calibri"/>
          <w:b/>
          <w:iCs/>
        </w:rPr>
        <w:instrText xml:space="preserve"> SEQ Figure \* ARABIC </w:instrText>
      </w:r>
      <w:r w:rsidRPr="002920FA">
        <w:rPr>
          <w:rFonts w:ascii="Calibri" w:eastAsia="Calibri" w:hAnsi="Calibri"/>
          <w:b/>
          <w:iCs/>
        </w:rPr>
        <w:fldChar w:fldCharType="separate"/>
      </w:r>
      <w:r w:rsidR="00DC4741">
        <w:rPr>
          <w:rFonts w:ascii="Calibri" w:eastAsia="Calibri" w:hAnsi="Calibri"/>
          <w:b/>
          <w:iCs/>
          <w:noProof/>
        </w:rPr>
        <w:t>2</w:t>
      </w:r>
      <w:r w:rsidRPr="002920FA">
        <w:rPr>
          <w:rFonts w:ascii="Calibri" w:eastAsia="Calibri" w:hAnsi="Calibri"/>
          <w:b/>
          <w:iCs/>
        </w:rPr>
        <w:fldChar w:fldCharType="end"/>
      </w:r>
      <w:r>
        <w:rPr>
          <w:rFonts w:ascii="Calibri" w:hAnsi="Calibri"/>
          <w:b/>
          <w:iCs/>
        </w:rPr>
        <w:t xml:space="preserve">: </w:t>
      </w:r>
      <w:r>
        <w:rPr>
          <w:b/>
        </w:rPr>
        <w:t>Konsumi fundor sipas sektorëve më 2015.</w:t>
      </w:r>
      <w:bookmarkEnd w:id="46"/>
    </w:p>
    <w:p w14:paraId="098FB34F" w14:textId="77777777" w:rsidR="00C05370" w:rsidRPr="002920FA" w:rsidRDefault="00C05370" w:rsidP="00D54031">
      <w:pPr>
        <w:spacing w:before="120" w:after="120" w:line="240" w:lineRule="auto"/>
        <w:jc w:val="both"/>
        <w:rPr>
          <w:rFonts w:cstheme="minorHAnsi"/>
          <w:b/>
          <w:lang w:val="en-GB"/>
        </w:rPr>
      </w:pPr>
    </w:p>
    <w:p w14:paraId="68DE86C2" w14:textId="77777777" w:rsidR="00D54031" w:rsidRPr="002920FA" w:rsidRDefault="00724C64" w:rsidP="00D54031">
      <w:pPr>
        <w:spacing w:before="120" w:after="120" w:line="240" w:lineRule="auto"/>
        <w:jc w:val="both"/>
        <w:rPr>
          <w:rFonts w:cstheme="minorHAnsi"/>
        </w:rPr>
      </w:pPr>
      <w:r>
        <w:rPr>
          <w:b/>
        </w:rPr>
        <w:t>Sektori banesor</w:t>
      </w:r>
    </w:p>
    <w:p w14:paraId="3BE4AEFF" w14:textId="77777777" w:rsidR="00D54031" w:rsidRPr="002920FA" w:rsidRDefault="00724C64" w:rsidP="00D54031">
      <w:pPr>
        <w:spacing w:before="120" w:after="120" w:line="240" w:lineRule="auto"/>
        <w:jc w:val="both"/>
        <w:rPr>
          <w:rFonts w:cstheme="minorHAnsi"/>
        </w:rPr>
      </w:pPr>
      <w:r>
        <w:t>Sektori banesor është sektori më i madh i konsumit fundor në Kosovë. Më 2015, konsumi fundor i energjisë në sektorin banesor ishte 476 ktoe ose 35% të konsumit total final të energjisë.</w:t>
      </w:r>
    </w:p>
    <w:p w14:paraId="4F1A4367" w14:textId="77777777" w:rsidR="00D54031" w:rsidRPr="002920FA" w:rsidRDefault="00724C64" w:rsidP="00D54031">
      <w:pPr>
        <w:spacing w:before="120" w:after="120" w:line="240" w:lineRule="auto"/>
        <w:jc w:val="both"/>
        <w:rPr>
          <w:rFonts w:cstheme="minorHAnsi"/>
        </w:rPr>
      </w:pPr>
      <w:r>
        <w:t xml:space="preserve">Ekzistojnë dy objektiva strategjikë që adresojnë çështjet e lidhura me krijimin e kornizës ligjore dhe institucionale për promovimin e efiçiencës së energjisë. </w:t>
      </w:r>
    </w:p>
    <w:p w14:paraId="3D98AD4C" w14:textId="77777777" w:rsidR="00EF1FEF" w:rsidRPr="002920FA" w:rsidRDefault="00724C64" w:rsidP="007563F9">
      <w:pPr>
        <w:pStyle w:val="ListParagraph"/>
        <w:numPr>
          <w:ilvl w:val="0"/>
          <w:numId w:val="13"/>
        </w:numPr>
        <w:spacing w:before="120"/>
        <w:rPr>
          <w:rFonts w:ascii="Calibri" w:hAnsi="Calibri" w:cs="Calibri"/>
        </w:rPr>
      </w:pPr>
      <w:r>
        <w:rPr>
          <w:rFonts w:ascii="Calibri" w:hAnsi="Calibri"/>
        </w:rPr>
        <w:t>Përmirësimi i qasjes në banim të përballueshëm si dhe në pajtim me rrethanat ekonomike të familjeve, si dhe ruajtjen e zonave banesore.</w:t>
      </w:r>
    </w:p>
    <w:p w14:paraId="253CFF26" w14:textId="77777777" w:rsidR="00EF1FEF" w:rsidRPr="002920FA" w:rsidRDefault="00724C64" w:rsidP="007563F9">
      <w:pPr>
        <w:pStyle w:val="ListParagraph"/>
        <w:numPr>
          <w:ilvl w:val="0"/>
          <w:numId w:val="13"/>
        </w:numPr>
        <w:spacing w:before="120"/>
        <w:rPr>
          <w:rFonts w:ascii="Calibri" w:hAnsi="Calibri" w:cs="Calibri"/>
        </w:rPr>
      </w:pPr>
      <w:r>
        <w:rPr>
          <w:rFonts w:ascii="Calibri" w:hAnsi="Calibri"/>
        </w:rPr>
        <w:t>rregullimi i veprimtarisë së ndërtimit përmes rregulloreve inxhinierike teknike, në përputhje me standardet e BE-së.</w:t>
      </w:r>
    </w:p>
    <w:p w14:paraId="301513AC" w14:textId="77777777" w:rsidR="00AF2C40" w:rsidRPr="002920FA" w:rsidRDefault="00AF2C40" w:rsidP="00AF2C40">
      <w:pPr>
        <w:pStyle w:val="ListParagraph"/>
        <w:ind w:left="0" w:firstLine="0"/>
        <w:rPr>
          <w:rFonts w:asciiTheme="minorHAnsi" w:eastAsiaTheme="minorHAnsi" w:hAnsiTheme="minorHAnsi" w:cstheme="minorHAnsi"/>
          <w:szCs w:val="22"/>
          <w:lang w:val="en-GB" w:eastAsia="en-US"/>
        </w:rPr>
      </w:pPr>
    </w:p>
    <w:p w14:paraId="33A0702C" w14:textId="77777777" w:rsidR="00EF1FEF" w:rsidRPr="002920FA" w:rsidRDefault="00724C64" w:rsidP="00AF2C40">
      <w:pPr>
        <w:pStyle w:val="ListParagraph"/>
        <w:ind w:left="0" w:firstLine="0"/>
        <w:rPr>
          <w:rFonts w:asciiTheme="minorHAnsi" w:eastAsiaTheme="minorHAnsi" w:hAnsiTheme="minorHAnsi" w:cstheme="minorHAnsi"/>
          <w:szCs w:val="22"/>
        </w:rPr>
      </w:pPr>
      <w:r>
        <w:rPr>
          <w:rFonts w:asciiTheme="minorHAnsi" w:hAnsiTheme="minorHAnsi"/>
          <w:szCs w:val="22"/>
        </w:rPr>
        <w:t>Çështjet e lidhura me promovimin e efiçiencës së energjisë në objekte banesore kolektive do të jenë prioriteti kryesor i Ministrisë së Mjedisit dhe Planifikimit Hapësinor në vitet vijuese.</w:t>
      </w:r>
    </w:p>
    <w:p w14:paraId="2CFC14CA" w14:textId="77777777" w:rsidR="00770141" w:rsidRPr="002920FA" w:rsidRDefault="00770141" w:rsidP="00EF1FEF">
      <w:pPr>
        <w:pStyle w:val="ListParagraph"/>
        <w:rPr>
          <w:rFonts w:asciiTheme="minorHAnsi" w:eastAsiaTheme="minorHAnsi" w:hAnsiTheme="minorHAnsi" w:cstheme="minorHAnsi"/>
          <w:szCs w:val="22"/>
          <w:lang w:val="en-GB" w:eastAsia="en-US"/>
        </w:rPr>
      </w:pPr>
    </w:p>
    <w:p w14:paraId="5DB643D3" w14:textId="77777777" w:rsidR="00D54031" w:rsidRPr="002920FA" w:rsidRDefault="00724C64" w:rsidP="00AF2C40">
      <w:pPr>
        <w:pStyle w:val="ListParagraph"/>
        <w:ind w:left="0" w:firstLine="0"/>
        <w:rPr>
          <w:rFonts w:asciiTheme="minorHAnsi" w:eastAsiaTheme="minorHAnsi" w:hAnsiTheme="minorHAnsi" w:cstheme="minorHAnsi"/>
          <w:szCs w:val="22"/>
        </w:rPr>
      </w:pPr>
      <w:r>
        <w:rPr>
          <w:rFonts w:asciiTheme="minorHAnsi" w:hAnsiTheme="minorHAnsi"/>
          <w:szCs w:val="22"/>
        </w:rPr>
        <w:t>Një masë në sektorin banesor është përfshirë në PKVEE-në e 3</w:t>
      </w:r>
      <w:r>
        <w:rPr>
          <w:rFonts w:asciiTheme="minorHAnsi" w:hAnsiTheme="minorHAnsi"/>
          <w:szCs w:val="22"/>
          <w:vertAlign w:val="superscript"/>
        </w:rPr>
        <w:t>të</w:t>
      </w:r>
      <w:r>
        <w:rPr>
          <w:rFonts w:asciiTheme="minorHAnsi" w:hAnsiTheme="minorHAnsi"/>
          <w:szCs w:val="22"/>
        </w:rPr>
        <w:t xml:space="preserve"> NEEAP, që parasheh përmirësimin e efiçiencës së energjisë përmes zbatimit të masave të efiçiencës së energjisë në objektet banesore. Masat e kursimit të energjisë në objekte banesore përfshijnë izolimin e mureve, ndërrimin e dritareve, izolimin e kulmeve dhe bodrumeve, si dhe aplikimin e sistemeve me BRE.</w:t>
      </w:r>
    </w:p>
    <w:p w14:paraId="3454E991" w14:textId="77777777" w:rsidR="00D54031" w:rsidRPr="002920FA" w:rsidRDefault="00D54031" w:rsidP="00D54031">
      <w:pPr>
        <w:spacing w:before="120" w:after="120" w:line="240" w:lineRule="auto"/>
        <w:jc w:val="both"/>
        <w:rPr>
          <w:rFonts w:cstheme="minorHAnsi"/>
          <w:lang w:val="en-GB"/>
        </w:rPr>
      </w:pPr>
    </w:p>
    <w:p w14:paraId="38913971" w14:textId="77777777" w:rsidR="00D54031" w:rsidRPr="002920FA" w:rsidRDefault="00724C64" w:rsidP="00D54031">
      <w:pPr>
        <w:spacing w:before="120" w:after="120" w:line="240" w:lineRule="auto"/>
        <w:jc w:val="both"/>
        <w:rPr>
          <w:rFonts w:cstheme="minorHAnsi"/>
        </w:rPr>
      </w:pPr>
      <w:r>
        <w:rPr>
          <w:b/>
        </w:rPr>
        <w:t>Sektori i transportit</w:t>
      </w:r>
    </w:p>
    <w:p w14:paraId="36556EC1" w14:textId="77777777" w:rsidR="00640B72" w:rsidRPr="002920FA" w:rsidRDefault="00724C64" w:rsidP="00D54031">
      <w:pPr>
        <w:spacing w:before="120" w:after="120" w:line="240" w:lineRule="auto"/>
        <w:jc w:val="both"/>
        <w:rPr>
          <w:rFonts w:cstheme="minorHAnsi"/>
        </w:rPr>
      </w:pPr>
      <w:r>
        <w:t>Sektori i transportit është sektori i dytë më i madh i konsumit fundor në Kosovë. Më 2015, konsumi fundor i energjisë në sektorin e transportit ishte 385 ktoe ose 29% të konsumit total final të energjisë.</w:t>
      </w:r>
    </w:p>
    <w:p w14:paraId="0686BFA1" w14:textId="7E88A18E" w:rsidR="00D54031" w:rsidRPr="002920FA" w:rsidRDefault="00724C64" w:rsidP="007563F9">
      <w:pPr>
        <w:spacing w:before="120" w:after="120" w:line="240" w:lineRule="auto"/>
        <w:jc w:val="both"/>
        <w:rPr>
          <w:rFonts w:cstheme="minorHAnsi"/>
        </w:rPr>
      </w:pPr>
      <w:r>
        <w:t xml:space="preserve">Një masë në sektorin e transportit është përfshirë në PKVEE-në e tretë sa i përket përmirësimit të sistemit të transportit publik në qytetin e Prishtinës. </w:t>
      </w:r>
    </w:p>
    <w:p w14:paraId="7A722AF9" w14:textId="77777777" w:rsidR="00D54031" w:rsidRPr="002920FA" w:rsidRDefault="00D54031" w:rsidP="00D54031">
      <w:pPr>
        <w:spacing w:before="120" w:after="120" w:line="240" w:lineRule="auto"/>
        <w:jc w:val="both"/>
        <w:rPr>
          <w:rFonts w:cstheme="minorHAnsi"/>
          <w:lang w:val="en-GB"/>
        </w:rPr>
      </w:pPr>
    </w:p>
    <w:p w14:paraId="08E78819" w14:textId="77777777" w:rsidR="00D54031" w:rsidRPr="002920FA" w:rsidRDefault="00724C64" w:rsidP="00D54031">
      <w:pPr>
        <w:spacing w:before="120" w:after="120" w:line="240" w:lineRule="auto"/>
        <w:jc w:val="both"/>
        <w:rPr>
          <w:rFonts w:cstheme="minorHAnsi"/>
        </w:rPr>
      </w:pPr>
      <w:r>
        <w:rPr>
          <w:b/>
        </w:rPr>
        <w:t>Sektori i industrisë dhe NVM-ve</w:t>
      </w:r>
    </w:p>
    <w:p w14:paraId="355CE174" w14:textId="77777777" w:rsidR="00D54031" w:rsidRPr="002920FA" w:rsidRDefault="00724C64" w:rsidP="00D54031">
      <w:pPr>
        <w:spacing w:before="120" w:after="120" w:line="240" w:lineRule="auto"/>
        <w:jc w:val="both"/>
        <w:rPr>
          <w:rFonts w:cstheme="minorHAnsi"/>
        </w:rPr>
      </w:pPr>
      <w:r>
        <w:t>Industria është sektori i tretë më i madh i konsumit fundor në Kosovë. Më 2015, konsumi fundor i energjisë në sektorin e industrisë ishte 307 ktoe ose 23% të konsumit total final të energjisë.</w:t>
      </w:r>
    </w:p>
    <w:p w14:paraId="4741E5B9" w14:textId="77777777" w:rsidR="00640B72" w:rsidRPr="002920FA" w:rsidRDefault="00724C64" w:rsidP="00640B72">
      <w:pPr>
        <w:spacing w:before="120" w:after="120" w:line="240" w:lineRule="auto"/>
        <w:jc w:val="both"/>
        <w:rPr>
          <w:rFonts w:cstheme="minorHAnsi"/>
        </w:rPr>
      </w:pPr>
      <w:r>
        <w:t>Një masë në sektorin e industrisë dhe NVM-ve është përfshirë në PKVEE-në e tretë, duke u fokusuar tek përmirësimi i efiçiencës së energjisë përmes zbatimit të masave të efiçiencës së energjisë në NVM. Masat për kursimin e energjisë në NVM parashohin ndërrimin e njësive të vjetra e joefikase të prodhimit dhe zbatimin e zgjidhjeve të ndriçimit efikas.</w:t>
      </w:r>
    </w:p>
    <w:p w14:paraId="4616C818" w14:textId="77777777" w:rsidR="00D54031" w:rsidRPr="002920FA" w:rsidRDefault="00D54031" w:rsidP="00D54031">
      <w:pPr>
        <w:spacing w:before="120" w:after="120" w:line="240" w:lineRule="auto"/>
        <w:jc w:val="both"/>
        <w:rPr>
          <w:rFonts w:cstheme="minorHAnsi"/>
          <w:lang w:val="en-GB"/>
        </w:rPr>
      </w:pPr>
    </w:p>
    <w:p w14:paraId="73070B0B" w14:textId="77777777" w:rsidR="00D54031" w:rsidRPr="002920FA" w:rsidRDefault="00724C64" w:rsidP="00D54031">
      <w:pPr>
        <w:spacing w:before="120" w:after="120" w:line="240" w:lineRule="auto"/>
        <w:jc w:val="both"/>
        <w:rPr>
          <w:rFonts w:cstheme="minorHAnsi"/>
        </w:rPr>
      </w:pPr>
      <w:r>
        <w:rPr>
          <w:b/>
        </w:rPr>
        <w:t>Sektori terciar (i shërbimeve)</w:t>
      </w:r>
    </w:p>
    <w:p w14:paraId="703FAC64" w14:textId="77777777" w:rsidR="00D54031" w:rsidRPr="002920FA" w:rsidRDefault="00724C64" w:rsidP="00D54031">
      <w:pPr>
        <w:spacing w:before="120" w:after="120" w:line="240" w:lineRule="auto"/>
        <w:jc w:val="both"/>
        <w:rPr>
          <w:rFonts w:cstheme="minorHAnsi"/>
        </w:rPr>
      </w:pPr>
      <w:r>
        <w:t>Më 2015, konsumi fundor i energjisë në sektorin e shërbimeve ishte 148 ktoe ose 11% të konsumit total final.</w:t>
      </w:r>
    </w:p>
    <w:p w14:paraId="55C55ADC" w14:textId="77777777" w:rsidR="00640B72" w:rsidRPr="002920FA" w:rsidRDefault="00724C64" w:rsidP="00640B72">
      <w:pPr>
        <w:spacing w:before="120" w:after="120" w:line="240" w:lineRule="auto"/>
        <w:jc w:val="both"/>
        <w:rPr>
          <w:rFonts w:cstheme="minorHAnsi"/>
        </w:rPr>
      </w:pPr>
      <w:r>
        <w:t>Masat e efiçiencës së energjisë në sektorin terciar, që përfshijnë administratën publike, institucionet shëndetësore, etj., që duhet të kenë rëndësi specifike për projektet investuese të PKVEE-së së tretë. PKVEE-ja e tretë përmban shtatë masa implementimi, për të cilat ndahen fondet kryesisht nga buxheti i shtetit, buxhetet komunale, BB-ja dhe KfW-ja. Mbi 200 objekte do të renovohen si rezultat i implementimit të projekteve investuese brenda atij aktiviteti. 7 masat e mëposhtme janë përfshirë në sektorin terciar në PKVEE-në e tretë:</w:t>
      </w:r>
    </w:p>
    <w:p w14:paraId="0F3B7E5F" w14:textId="77777777" w:rsidR="00640B72" w:rsidRPr="002920FA" w:rsidRDefault="00724C64" w:rsidP="007563F9">
      <w:pPr>
        <w:pStyle w:val="ListParagraph"/>
        <w:numPr>
          <w:ilvl w:val="0"/>
          <w:numId w:val="13"/>
        </w:numPr>
        <w:spacing w:before="120"/>
        <w:rPr>
          <w:rFonts w:ascii="Calibri" w:hAnsi="Calibri" w:cs="Calibri"/>
        </w:rPr>
      </w:pPr>
      <w:r>
        <w:rPr>
          <w:rFonts w:ascii="Calibri" w:hAnsi="Calibri"/>
        </w:rPr>
        <w:t>Përmirësimi i EE-së në ndërtesat e institucioneve publike në nivel qendror (projekt i BB-së).</w:t>
      </w:r>
    </w:p>
    <w:p w14:paraId="786BAAD2" w14:textId="77777777" w:rsidR="00640B72" w:rsidRPr="002920FA" w:rsidRDefault="00724C64" w:rsidP="007563F9">
      <w:pPr>
        <w:pStyle w:val="ListParagraph"/>
        <w:numPr>
          <w:ilvl w:val="0"/>
          <w:numId w:val="13"/>
        </w:numPr>
        <w:spacing w:before="120"/>
        <w:rPr>
          <w:rFonts w:ascii="Calibri" w:hAnsi="Calibri" w:cs="Calibri"/>
        </w:rPr>
      </w:pPr>
      <w:r>
        <w:rPr>
          <w:rFonts w:ascii="Calibri" w:hAnsi="Calibri"/>
        </w:rPr>
        <w:t>Përmirësimi i EE-së në ndërtesat e institucioneve publike në pesë vende në nivel qendror (MZHE).</w:t>
      </w:r>
    </w:p>
    <w:p w14:paraId="55852FDA" w14:textId="77777777" w:rsidR="00640B72" w:rsidRPr="002920FA" w:rsidRDefault="00724C64" w:rsidP="007563F9">
      <w:pPr>
        <w:pStyle w:val="ListParagraph"/>
        <w:numPr>
          <w:ilvl w:val="0"/>
          <w:numId w:val="13"/>
        </w:numPr>
        <w:spacing w:before="120"/>
        <w:rPr>
          <w:rFonts w:ascii="Calibri" w:hAnsi="Calibri" w:cs="Calibri"/>
        </w:rPr>
      </w:pPr>
      <w:r>
        <w:rPr>
          <w:rFonts w:ascii="Calibri" w:hAnsi="Calibri"/>
        </w:rPr>
        <w:t>Përmirësimi i EE-së në ndërtesat e institucioneve publike në nivel qendror (MAP, MD, QKUK, MPB dhe UP).</w:t>
      </w:r>
    </w:p>
    <w:p w14:paraId="718997E2" w14:textId="77777777" w:rsidR="00640B72" w:rsidRPr="002920FA" w:rsidRDefault="00724C64" w:rsidP="007563F9">
      <w:pPr>
        <w:pStyle w:val="ListParagraph"/>
        <w:numPr>
          <w:ilvl w:val="0"/>
          <w:numId w:val="13"/>
        </w:numPr>
        <w:spacing w:before="120"/>
        <w:rPr>
          <w:rFonts w:ascii="Calibri" w:hAnsi="Calibri" w:cs="Calibri"/>
        </w:rPr>
      </w:pPr>
      <w:r>
        <w:rPr>
          <w:rFonts w:ascii="Calibri" w:hAnsi="Calibri"/>
        </w:rPr>
        <w:t>Përmirësimi i EE-së në ndërtesat e institucioneve publike në nivel qendror, në sektorin e ndriçimit.</w:t>
      </w:r>
    </w:p>
    <w:p w14:paraId="4694A333" w14:textId="77777777" w:rsidR="00640B72" w:rsidRPr="00E565CD" w:rsidRDefault="00724C64" w:rsidP="007563F9">
      <w:pPr>
        <w:pStyle w:val="ListParagraph"/>
        <w:numPr>
          <w:ilvl w:val="0"/>
          <w:numId w:val="13"/>
        </w:numPr>
        <w:spacing w:before="120"/>
        <w:rPr>
          <w:rFonts w:ascii="Calibri" w:hAnsi="Calibri" w:cs="Calibri"/>
        </w:rPr>
      </w:pPr>
      <w:r>
        <w:rPr>
          <w:rFonts w:ascii="Calibri" w:hAnsi="Calibri"/>
        </w:rPr>
        <w:t>Përmirësimi i EE-së në ndërtesat e institucioneve publike në nivel lokal (katër komuna, projekt i KfW-së).</w:t>
      </w:r>
    </w:p>
    <w:p w14:paraId="4F45BD29" w14:textId="77777777" w:rsidR="00640B72" w:rsidRPr="00E565CD" w:rsidRDefault="00724C64" w:rsidP="007563F9">
      <w:pPr>
        <w:pStyle w:val="ListParagraph"/>
        <w:numPr>
          <w:ilvl w:val="0"/>
          <w:numId w:val="13"/>
        </w:numPr>
        <w:spacing w:before="120"/>
        <w:rPr>
          <w:rFonts w:ascii="Calibri" w:hAnsi="Calibri" w:cs="Calibri"/>
        </w:rPr>
      </w:pPr>
      <w:r>
        <w:rPr>
          <w:rFonts w:ascii="Calibri" w:hAnsi="Calibri"/>
        </w:rPr>
        <w:t>Përmirësimi i EE-së në ndërtesat e institucioneve publike në nivel lokal (KASH).</w:t>
      </w:r>
    </w:p>
    <w:p w14:paraId="41769B5F" w14:textId="77777777" w:rsidR="008E4D2E" w:rsidRPr="00E565CD" w:rsidRDefault="00724C64" w:rsidP="007563F9">
      <w:pPr>
        <w:pStyle w:val="ListParagraph"/>
        <w:numPr>
          <w:ilvl w:val="0"/>
          <w:numId w:val="13"/>
        </w:numPr>
        <w:spacing w:before="120"/>
        <w:rPr>
          <w:rFonts w:ascii="Calibri" w:hAnsi="Calibri" w:cs="Calibri"/>
        </w:rPr>
      </w:pPr>
      <w:r>
        <w:rPr>
          <w:rFonts w:ascii="Calibri" w:hAnsi="Calibri"/>
        </w:rPr>
        <w:t>Përmirësimi i EE-së në ndriçim publik në nivel lokal .</w:t>
      </w:r>
    </w:p>
    <w:p w14:paraId="7E335E4E" w14:textId="77777777" w:rsidR="00D54031" w:rsidRPr="00E565CD" w:rsidRDefault="00D54031" w:rsidP="008E4D2E">
      <w:pPr>
        <w:rPr>
          <w:rFonts w:cstheme="minorHAnsi"/>
          <w:lang w:val="en-GB"/>
        </w:rPr>
      </w:pPr>
    </w:p>
    <w:p w14:paraId="13B5CB87" w14:textId="77777777" w:rsidR="008E4D2E" w:rsidRPr="00E565CD" w:rsidRDefault="008E4D2E" w:rsidP="007563F9">
      <w:pPr>
        <w:rPr>
          <w:rFonts w:cstheme="minorHAnsi"/>
          <w:lang w:val="en-GB"/>
        </w:rPr>
      </w:pPr>
    </w:p>
    <w:sectPr w:rsidR="008E4D2E" w:rsidRPr="00E565CD" w:rsidSect="005907C2">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876122" w16cid:durableId="1E960EE4"/>
  <w16cid:commentId w16cid:paraId="05F32EE9" w16cid:durableId="1E47AA3B"/>
  <w16cid:commentId w16cid:paraId="614364C8" w16cid:durableId="1E960F80"/>
  <w16cid:commentId w16cid:paraId="1F0260A9" w16cid:durableId="1E960F87"/>
  <w16cid:commentId w16cid:paraId="5FB0F356" w16cid:durableId="1E960F6C"/>
  <w16cid:commentId w16cid:paraId="5D5B614E" w16cid:durableId="1E47AA3C"/>
  <w16cid:commentId w16cid:paraId="3E8FEC59" w16cid:durableId="1E960FAE"/>
  <w16cid:commentId w16cid:paraId="0C0F05B5" w16cid:durableId="1E960FB4"/>
  <w16cid:commentId w16cid:paraId="335FDA52" w16cid:durableId="1E960FBA"/>
  <w16cid:commentId w16cid:paraId="3E2E48F9" w16cid:durableId="1E47AA3E"/>
  <w16cid:commentId w16cid:paraId="68351750" w16cid:durableId="1E9ACCE3"/>
  <w16cid:commentId w16cid:paraId="10B23BE5" w16cid:durableId="1E47AA3F"/>
  <w16cid:commentId w16cid:paraId="3F805496" w16cid:durableId="1E492839"/>
  <w16cid:commentId w16cid:paraId="6193A2FB" w16cid:durableId="1E492929"/>
  <w16cid:commentId w16cid:paraId="6F226291" w16cid:durableId="1E9610F1"/>
  <w16cid:commentId w16cid:paraId="29081489" w16cid:durableId="1E9610FF"/>
  <w16cid:commentId w16cid:paraId="01360F8C" w16cid:durableId="1E961108"/>
  <w16cid:commentId w16cid:paraId="04768A76" w16cid:durableId="1E47AA41"/>
  <w16cid:commentId w16cid:paraId="3036F796" w16cid:durableId="1E96113E"/>
  <w16cid:commentId w16cid:paraId="52AA876A" w16cid:durableId="1E47AA42"/>
  <w16cid:commentId w16cid:paraId="730EB671" w16cid:durableId="1E9AC8E7"/>
  <w16cid:commentId w16cid:paraId="405A637C" w16cid:durableId="1E47AA44"/>
  <w16cid:commentId w16cid:paraId="4C97B317" w16cid:durableId="1E961249"/>
  <w16cid:commentId w16cid:paraId="66A769C8" w16cid:durableId="1E47AA45"/>
  <w16cid:commentId w16cid:paraId="24DC3F6D" w16cid:durableId="1E9612CA"/>
  <w16cid:commentId w16cid:paraId="3F920069" w16cid:durableId="1E47AA46"/>
  <w16cid:commentId w16cid:paraId="7B49880E" w16cid:durableId="1E492ACC"/>
  <w16cid:commentId w16cid:paraId="40CFCCB0" w16cid:durableId="1E47EF1D"/>
  <w16cid:commentId w16cid:paraId="5F26A56B" w16cid:durableId="1E47AA47"/>
  <w16cid:commentId w16cid:paraId="5E410166" w16cid:durableId="1E492AE9"/>
  <w16cid:commentId w16cid:paraId="68A4DB93" w16cid:durableId="1E47AA48"/>
  <w16cid:commentId w16cid:paraId="0B3DE936" w16cid:durableId="1E492AF2"/>
  <w16cid:commentId w16cid:paraId="17889136" w16cid:durableId="1E47AA49"/>
  <w16cid:commentId w16cid:paraId="6D8E2D3F" w16cid:durableId="1E961340"/>
  <w16cid:commentId w16cid:paraId="017B75CE" w16cid:durableId="1E47AA4A"/>
  <w16cid:commentId w16cid:paraId="78632118" w16cid:durableId="1E492B3B"/>
  <w16cid:commentId w16cid:paraId="03C92EBA" w16cid:durableId="1E961365"/>
  <w16cid:commentId w16cid:paraId="52B9208F" w16cid:durableId="1E9ACAD8"/>
  <w16cid:commentId w16cid:paraId="081A7373" w16cid:durableId="1E47AA4B"/>
  <w16cid:commentId w16cid:paraId="0A04A45E" w16cid:durableId="1E961466"/>
  <w16cid:commentId w16cid:paraId="783DB731" w16cid:durableId="1E961E3E"/>
  <w16cid:commentId w16cid:paraId="2513299B" w16cid:durableId="1E9ACAB5"/>
  <w16cid:commentId w16cid:paraId="1715ED8C" w16cid:durableId="1E47AA4D"/>
  <w16cid:commentId w16cid:paraId="519BCC7B" w16cid:durableId="1E492CE7"/>
  <w16cid:commentId w16cid:paraId="76DB4134" w16cid:durableId="1E96155B"/>
  <w16cid:commentId w16cid:paraId="422D7418" w16cid:durableId="1E961584"/>
  <w16cid:commentId w16cid:paraId="1A84F277" w16cid:durableId="1E47AA4F"/>
  <w16cid:commentId w16cid:paraId="6AF969B0" w16cid:durableId="1E492D2B"/>
  <w16cid:commentId w16cid:paraId="66C4B186" w16cid:durableId="1E96159C"/>
  <w16cid:commentId w16cid:paraId="79569206" w16cid:durableId="1E47AA50"/>
  <w16cid:commentId w16cid:paraId="24806134" w16cid:durableId="1E492D4B"/>
  <w16cid:commentId w16cid:paraId="092CE55F" w16cid:durableId="1E47AA51"/>
  <w16cid:commentId w16cid:paraId="4932A19A" w16cid:durableId="1E492D84"/>
  <w16cid:commentId w16cid:paraId="50E87DBD" w16cid:durableId="1E961602"/>
  <w16cid:commentId w16cid:paraId="1A682449" w16cid:durableId="1E47AA52"/>
  <w16cid:commentId w16cid:paraId="7470C422" w16cid:durableId="1E961693"/>
  <w16cid:commentId w16cid:paraId="2844D5E5" w16cid:durableId="1E47AA53"/>
  <w16cid:commentId w16cid:paraId="5D3E59C1" w16cid:durableId="1E9616D9"/>
  <w16cid:commentId w16cid:paraId="73CE6FB4" w16cid:durableId="1E47AA54"/>
  <w16cid:commentId w16cid:paraId="51A05176" w16cid:durableId="1E47AA55"/>
  <w16cid:commentId w16cid:paraId="0E620C7D" w16cid:durableId="1E47AA56"/>
  <w16cid:commentId w16cid:paraId="7978B7BF" w16cid:durableId="1E961730"/>
  <w16cid:commentId w16cid:paraId="6285CB1C" w16cid:durableId="1E47AA57"/>
  <w16cid:commentId w16cid:paraId="1FD74129" w16cid:durableId="1E96175F"/>
  <w16cid:commentId w16cid:paraId="741EA8A9" w16cid:durableId="1E9ACB66"/>
  <w16cid:commentId w16cid:paraId="30497AA5" w16cid:durableId="1E47AA5A"/>
  <w16cid:commentId w16cid:paraId="22101D7A" w16cid:durableId="1E96183D"/>
  <w16cid:commentId w16cid:paraId="0DF2CD22" w16cid:durableId="1E47AA5B"/>
  <w16cid:commentId w16cid:paraId="57FBD8AE" w16cid:durableId="1E492E93"/>
  <w16cid:commentId w16cid:paraId="36B445E1" w16cid:durableId="1E47AA5C"/>
  <w16cid:commentId w16cid:paraId="6D8C8C34" w16cid:durableId="1E49357E"/>
  <w16cid:commentId w16cid:paraId="3E5B4C44" w16cid:durableId="1E47F4B9"/>
  <w16cid:commentId w16cid:paraId="5BA6AB5D" w16cid:durableId="1E9618BA"/>
  <w16cid:commentId w16cid:paraId="3CE988E1" w16cid:durableId="1E47AA5D"/>
  <w16cid:commentId w16cid:paraId="5D8BC663" w16cid:durableId="1E49359F"/>
  <w16cid:commentId w16cid:paraId="16609695" w16cid:durableId="1E47AA5F"/>
  <w16cid:commentId w16cid:paraId="6E4A69BE" w16cid:durableId="1E4935DD"/>
  <w16cid:commentId w16cid:paraId="127D92F2" w16cid:durableId="1E47AA60"/>
  <w16cid:commentId w16cid:paraId="05ABC89B" w16cid:durableId="1E961930"/>
  <w16cid:commentId w16cid:paraId="767B05F5" w16cid:durableId="1E47AA61"/>
  <w16cid:commentId w16cid:paraId="40446ACB" w16cid:durableId="1E96193F"/>
  <w16cid:commentId w16cid:paraId="70D2B3CB" w16cid:durableId="1E47AA62"/>
  <w16cid:commentId w16cid:paraId="020A2283" w16cid:durableId="1E493614"/>
  <w16cid:commentId w16cid:paraId="5E485ECB" w16cid:durableId="1E47AA63"/>
  <w16cid:commentId w16cid:paraId="196968E4" w16cid:durableId="1E47AA64"/>
  <w16cid:commentId w16cid:paraId="642FB7AF" w16cid:durableId="1E493644"/>
  <w16cid:commentId w16cid:paraId="11031CF9" w16cid:durableId="1E961AAE"/>
  <w16cid:commentId w16cid:paraId="2513D15E" w16cid:durableId="1E5BBFCD"/>
  <w16cid:commentId w16cid:paraId="7BE9AFD1" w16cid:durableId="1E47AA65"/>
  <w16cid:commentId w16cid:paraId="415C4929" w16cid:durableId="1E493677"/>
  <w16cid:commentId w16cid:paraId="4F0ADF95" w16cid:durableId="1E47AA66"/>
  <w16cid:commentId w16cid:paraId="49E8FB39" w16cid:durableId="1E493683"/>
  <w16cid:commentId w16cid:paraId="6F303E4D" w16cid:durableId="1E47AA67"/>
  <w16cid:commentId w16cid:paraId="3AC92329" w16cid:durableId="1E493695"/>
  <w16cid:commentId w16cid:paraId="28D314BF" w16cid:durableId="1E47AA6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F0AC58" w14:textId="77777777" w:rsidR="00ED61C4" w:rsidRDefault="00ED61C4" w:rsidP="00160C6D">
      <w:pPr>
        <w:spacing w:after="0" w:line="240" w:lineRule="auto"/>
      </w:pPr>
      <w:r>
        <w:separator/>
      </w:r>
    </w:p>
  </w:endnote>
  <w:endnote w:type="continuationSeparator" w:id="0">
    <w:p w14:paraId="3E2B6B59" w14:textId="77777777" w:rsidR="00ED61C4" w:rsidRDefault="00ED61C4" w:rsidP="00160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64C000" w:usb3="00000000" w:csb0="00000001" w:csb1="00000000"/>
  </w:font>
  <w:font w:name="Calibri Light">
    <w:altName w:val="Arial"/>
    <w:panose1 w:val="020F0302020204030204"/>
    <w:charset w:val="00"/>
    <w:family w:val="swiss"/>
    <w:pitch w:val="variable"/>
    <w:sig w:usb0="A00002EF" w:usb1="4000207B" w:usb2="00000000" w:usb3="00000000" w:csb0="0000019F" w:csb1="00000000"/>
  </w:font>
  <w:font w:name="EUAlbertina">
    <w:altName w:val="Calibri"/>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060848"/>
      <w:docPartObj>
        <w:docPartGallery w:val="Page Numbers (Bottom of Page)"/>
        <w:docPartUnique/>
      </w:docPartObj>
    </w:sdtPr>
    <w:sdtEndPr/>
    <w:sdtContent>
      <w:p w14:paraId="731ACA8C" w14:textId="015E0464" w:rsidR="00077D78" w:rsidRDefault="00077D78">
        <w:pPr>
          <w:pStyle w:val="Footer"/>
          <w:jc w:val="center"/>
        </w:pPr>
        <w:r>
          <w:fldChar w:fldCharType="begin"/>
        </w:r>
        <w:r>
          <w:instrText>PAGE   \* MERGEFORMAT</w:instrText>
        </w:r>
        <w:r>
          <w:fldChar w:fldCharType="separate"/>
        </w:r>
        <w:r w:rsidR="00ED61C4">
          <w:rPr>
            <w:noProof/>
          </w:rPr>
          <w:t>i</w:t>
        </w:r>
        <w:r>
          <w:fldChar w:fldCharType="end"/>
        </w:r>
      </w:p>
    </w:sdtContent>
  </w:sdt>
  <w:p w14:paraId="3C9391BD" w14:textId="77777777" w:rsidR="00077D78" w:rsidRDefault="00077D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899D4" w14:textId="4E844215" w:rsidR="00077D78" w:rsidRDefault="00077D78">
    <w:pPr>
      <w:spacing w:after="0" w:line="240" w:lineRule="auto"/>
      <w:jc w:val="right"/>
    </w:pPr>
    <w:r>
      <w:fldChar w:fldCharType="begin"/>
    </w:r>
    <w:r>
      <w:instrText xml:space="preserve"> PAGE   \* MERGEFORMAT </w:instrText>
    </w:r>
    <w:r>
      <w:fldChar w:fldCharType="separate"/>
    </w:r>
    <w:r w:rsidRPr="00DC4741">
      <w:rPr>
        <w:noProof/>
        <w:sz w:val="20"/>
      </w:rPr>
      <w:t>54</w:t>
    </w:r>
    <w:r>
      <w:rPr>
        <w:sz w:val="20"/>
      </w:rPr>
      <w:fldChar w:fldCharType="end"/>
    </w:r>
    <w:r>
      <w:rPr>
        <w:rFonts w:ascii="Times New Roman" w:hAnsi="Times New Roman"/>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F26F4" w14:textId="14FC08CE" w:rsidR="00077D78" w:rsidRDefault="00077D78">
    <w:pPr>
      <w:spacing w:after="0" w:line="240" w:lineRule="auto"/>
      <w:jc w:val="right"/>
    </w:pPr>
    <w:r>
      <w:fldChar w:fldCharType="begin"/>
    </w:r>
    <w:r>
      <w:instrText xml:space="preserve"> PAGE   \* MERGEFORMAT </w:instrText>
    </w:r>
    <w:r>
      <w:fldChar w:fldCharType="separate"/>
    </w:r>
    <w:r w:rsidR="009F79A1" w:rsidRPr="009F79A1">
      <w:rPr>
        <w:noProof/>
        <w:sz w:val="20"/>
      </w:rPr>
      <w:t>46</w:t>
    </w:r>
    <w:r>
      <w:rPr>
        <w:sz w:val="20"/>
      </w:rPr>
      <w:fldChar w:fldCharType="end"/>
    </w:r>
    <w:r>
      <w:rPr>
        <w:rFonts w:ascii="Times New Roman" w:hAnsi="Times New Roman"/>
        <w:sz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29571" w14:textId="73430037" w:rsidR="00077D78" w:rsidRDefault="00077D78">
    <w:pPr>
      <w:spacing w:after="0" w:line="240" w:lineRule="auto"/>
      <w:jc w:val="right"/>
    </w:pPr>
    <w:r>
      <w:fldChar w:fldCharType="begin"/>
    </w:r>
    <w:r>
      <w:instrText xml:space="preserve"> PAGE   \* MERGEFORMAT </w:instrText>
    </w:r>
    <w:r>
      <w:fldChar w:fldCharType="separate"/>
    </w:r>
    <w:r w:rsidRPr="00DC4741">
      <w:rPr>
        <w:noProof/>
        <w:sz w:val="20"/>
      </w:rPr>
      <w:t>54</w:t>
    </w:r>
    <w:r>
      <w:rPr>
        <w:sz w:val="20"/>
      </w:rPr>
      <w:fldChar w:fldCharType="end"/>
    </w:r>
    <w:r>
      <w:rPr>
        <w:rFonts w:ascii="Times New Roman" w:hAnsi="Times New Roman"/>
        <w:sz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E20EE" w14:textId="0B44D4BF" w:rsidR="00077D78" w:rsidRDefault="00077D78">
    <w:pPr>
      <w:spacing w:after="362" w:line="240" w:lineRule="auto"/>
      <w:jc w:val="right"/>
    </w:pPr>
    <w:r>
      <w:fldChar w:fldCharType="begin"/>
    </w:r>
    <w:r>
      <w:instrText xml:space="preserve"> PAGE   \* MERGEFORMAT </w:instrText>
    </w:r>
    <w:r>
      <w:fldChar w:fldCharType="separate"/>
    </w:r>
    <w:r w:rsidRPr="00DC4741">
      <w:rPr>
        <w:noProof/>
        <w:sz w:val="20"/>
      </w:rPr>
      <w:t>54</w:t>
    </w:r>
    <w:r>
      <w:rPr>
        <w:sz w:val="20"/>
      </w:rPr>
      <w:fldChar w:fldCharType="end"/>
    </w:r>
    <w:r>
      <w:rPr>
        <w:rFonts w:ascii="Times New Roman" w:hAnsi="Times New Roman"/>
        <w:sz w:val="24"/>
      </w:rPr>
      <w:t xml:space="preserve"> </w:t>
    </w:r>
  </w:p>
  <w:p w14:paraId="7B920174" w14:textId="77777777" w:rsidR="00077D78" w:rsidRDefault="00077D78">
    <w:pPr>
      <w:spacing w:after="0" w:line="240" w:lineRule="auto"/>
    </w:pPr>
    <w:r>
      <w:rPr>
        <w:b/>
        <w:sz w:val="48"/>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EC8F40" w14:textId="27E49D62" w:rsidR="00077D78" w:rsidRDefault="00077D78">
    <w:pPr>
      <w:spacing w:after="362" w:line="240" w:lineRule="auto"/>
      <w:jc w:val="right"/>
    </w:pPr>
    <w:r>
      <w:fldChar w:fldCharType="begin"/>
    </w:r>
    <w:r>
      <w:instrText xml:space="preserve"> PAGE   \* MERGEFORMAT </w:instrText>
    </w:r>
    <w:r>
      <w:fldChar w:fldCharType="separate"/>
    </w:r>
    <w:r w:rsidR="009F79A1" w:rsidRPr="009F79A1">
      <w:rPr>
        <w:noProof/>
        <w:sz w:val="20"/>
      </w:rPr>
      <w:t>54</w:t>
    </w:r>
    <w:r>
      <w:rPr>
        <w:sz w:val="20"/>
      </w:rPr>
      <w:fldChar w:fldCharType="end"/>
    </w:r>
    <w:r>
      <w:rPr>
        <w:rFonts w:ascii="Times New Roman" w:hAnsi="Times New Roman"/>
        <w:sz w:val="24"/>
      </w:rPr>
      <w:t xml:space="preserve"> </w:t>
    </w:r>
  </w:p>
  <w:p w14:paraId="76404AAF" w14:textId="77777777" w:rsidR="00077D78" w:rsidRDefault="00077D78">
    <w:pPr>
      <w:spacing w:after="0" w:line="240" w:lineRule="auto"/>
    </w:pPr>
    <w:r>
      <w:rPr>
        <w:b/>
        <w:sz w:val="48"/>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2E512" w14:textId="4DEA5047" w:rsidR="00077D78" w:rsidRDefault="00077D78">
    <w:pPr>
      <w:spacing w:after="362" w:line="240" w:lineRule="auto"/>
      <w:jc w:val="right"/>
    </w:pPr>
    <w:r>
      <w:fldChar w:fldCharType="begin"/>
    </w:r>
    <w:r>
      <w:instrText xml:space="preserve"> PAGE   \* MERGEFORMAT </w:instrText>
    </w:r>
    <w:r>
      <w:fldChar w:fldCharType="separate"/>
    </w:r>
    <w:r w:rsidRPr="00DC4741">
      <w:rPr>
        <w:noProof/>
        <w:sz w:val="20"/>
      </w:rPr>
      <w:t>54</w:t>
    </w:r>
    <w:r>
      <w:rPr>
        <w:sz w:val="20"/>
      </w:rPr>
      <w:fldChar w:fldCharType="end"/>
    </w:r>
    <w:r>
      <w:rPr>
        <w:rFonts w:ascii="Times New Roman" w:hAnsi="Times New Roman"/>
        <w:sz w:val="24"/>
      </w:rPr>
      <w:t xml:space="preserve"> </w:t>
    </w:r>
  </w:p>
  <w:p w14:paraId="288AD32F" w14:textId="77777777" w:rsidR="00077D78" w:rsidRDefault="00077D78">
    <w:pPr>
      <w:spacing w:after="0" w:line="240" w:lineRule="auto"/>
    </w:pPr>
    <w:r>
      <w:rPr>
        <w:b/>
        <w:sz w:val="4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48DCA1" w14:textId="77777777" w:rsidR="00ED61C4" w:rsidRDefault="00ED61C4" w:rsidP="00160C6D">
      <w:pPr>
        <w:spacing w:after="0" w:line="240" w:lineRule="auto"/>
      </w:pPr>
      <w:r>
        <w:separator/>
      </w:r>
    </w:p>
  </w:footnote>
  <w:footnote w:type="continuationSeparator" w:id="0">
    <w:p w14:paraId="49C2C275" w14:textId="77777777" w:rsidR="00ED61C4" w:rsidRDefault="00ED61C4" w:rsidP="00160C6D">
      <w:pPr>
        <w:spacing w:after="0" w:line="240" w:lineRule="auto"/>
      </w:pPr>
      <w:r>
        <w:continuationSeparator/>
      </w:r>
    </w:p>
  </w:footnote>
  <w:footnote w:id="1">
    <w:p w14:paraId="4D448890" w14:textId="5C1538DC" w:rsidR="00077D78" w:rsidRPr="00690CD8" w:rsidRDefault="00077D78">
      <w:pPr>
        <w:pStyle w:val="FootnoteText"/>
      </w:pPr>
      <w:r>
        <w:rPr>
          <w:rStyle w:val="FootnoteReference"/>
        </w:rPr>
        <w:footnoteRef/>
      </w:r>
      <w:r>
        <w:t xml:space="preserve"> </w:t>
      </w:r>
      <w:r>
        <w:rPr>
          <w:rFonts w:ascii="Arial" w:hAnsi="Arial"/>
          <w:color w:val="333333"/>
          <w:sz w:val="18"/>
          <w:szCs w:val="18"/>
          <w:shd w:val="clear" w:color="auto" w:fill="FFFFFF"/>
        </w:rPr>
        <w:t>Vegla SHARES fokusohet tek kalkulimi i harmonizuar i pjesës së energjisë nga burimet e ripërtërishme (brenda BE-së dhe Palëve kontraktuese të TKE-së). </w:t>
      </w:r>
      <w:r>
        <w:t>Shih http://ec.europa.eu/eurostat/web/energy/data/shares</w:t>
      </w:r>
    </w:p>
  </w:footnote>
  <w:footnote w:id="2">
    <w:p w14:paraId="6788E17F" w14:textId="77777777" w:rsidR="00077D78" w:rsidRDefault="00077D78" w:rsidP="00F91663">
      <w:pPr>
        <w:pStyle w:val="FootnoteText"/>
      </w:pPr>
      <w:r>
        <w:rPr>
          <w:rStyle w:val="FootnoteReference"/>
          <w:sz w:val="16"/>
          <w:szCs w:val="16"/>
        </w:rPr>
        <w:footnoteRef/>
      </w:r>
      <w:r>
        <w:rPr>
          <w:sz w:val="16"/>
          <w:szCs w:val="16"/>
        </w:rPr>
        <w:t xml:space="preserve"> </w:t>
      </w:r>
      <w:r>
        <w:rPr>
          <w:color w:val="19161B"/>
          <w:sz w:val="16"/>
          <w:szCs w:val="16"/>
        </w:rPr>
        <w:t>Është konsumi final i energjisë i të gjitha formave të energjisë, përveç energjisë elektrike për qëllime që nuk janë transport, plus konsumi vetanak i ngrohjes në impiantet e energjisë elektrike dhe ngrohjes si dhe humbjet e ngrohjes në rrjete (pikat ‘2. Konsumi vetanal nga impiantet’ dhe ‘11. Humbjet në transmision dhe distribucion nga Rregullorja (EC) Nr. 1099/2008 (f. 23-24).</w:t>
      </w:r>
    </w:p>
  </w:footnote>
  <w:footnote w:id="3">
    <w:p w14:paraId="093FC245" w14:textId="77777777" w:rsidR="00077D78" w:rsidRDefault="00077D78" w:rsidP="00F91663">
      <w:pPr>
        <w:pStyle w:val="FootnoteText"/>
      </w:pPr>
      <w:r>
        <w:rPr>
          <w:rStyle w:val="FootnoteReference"/>
          <w:sz w:val="16"/>
          <w:szCs w:val="16"/>
        </w:rPr>
        <w:footnoteRef/>
      </w:r>
      <w:r>
        <w:rPr>
          <w:sz w:val="16"/>
          <w:szCs w:val="16"/>
        </w:rPr>
        <w:t xml:space="preserve"> </w:t>
      </w:r>
      <w:r>
        <w:rPr>
          <w:color w:val="19161B"/>
          <w:sz w:val="16"/>
          <w:szCs w:val="16"/>
        </w:rPr>
        <w:t>Konsumi bruto i energjisë elektrike është prodhimi shtetëror bruto i energjisë elektrike, duke përfshirë auto-prodhimin, plus importet, minus eksportet</w:t>
      </w:r>
    </w:p>
  </w:footnote>
  <w:footnote w:id="4">
    <w:p w14:paraId="6E0C9194" w14:textId="77777777" w:rsidR="00077D78" w:rsidRDefault="00077D78" w:rsidP="00F91663">
      <w:pPr>
        <w:pStyle w:val="FootnoteText"/>
      </w:pPr>
      <w:r>
        <w:rPr>
          <w:rStyle w:val="FootnoteReference"/>
          <w:sz w:val="16"/>
          <w:szCs w:val="16"/>
        </w:rPr>
        <w:footnoteRef/>
      </w:r>
      <w:r>
        <w:rPr>
          <w:sz w:val="16"/>
          <w:szCs w:val="16"/>
        </w:rPr>
        <w:t xml:space="preserve"> </w:t>
      </w:r>
      <w:r>
        <w:rPr>
          <w:color w:val="19161B"/>
          <w:sz w:val="16"/>
          <w:szCs w:val="16"/>
        </w:rPr>
        <w:t>Konsumi në transport sipas përkufizimit tek neni 3(4)(a) i Direktivës 2009/28/EC. Energjia elektrike e ripërtërishme në transportin rrugor në këtë figurë duhet shumëzuar me një faktor prej 2,5, siç theksohet tek neni 3(4)(c) të Direktivës 2009/28/EC.</w:t>
      </w:r>
    </w:p>
  </w:footnote>
  <w:footnote w:id="5">
    <w:p w14:paraId="7339C3AA" w14:textId="77777777" w:rsidR="00077D78" w:rsidRDefault="00077D78" w:rsidP="00F91663">
      <w:pPr>
        <w:pStyle w:val="FootnoteText"/>
      </w:pPr>
      <w:r>
        <w:rPr>
          <w:rStyle w:val="Smbolodenotaalpie"/>
          <w:sz w:val="16"/>
          <w:szCs w:val="16"/>
        </w:rPr>
        <w:footnoteRef/>
      </w:r>
      <w:r>
        <w:rPr>
          <w:sz w:val="16"/>
          <w:szCs w:val="16"/>
        </w:rPr>
        <w:t xml:space="preserve"> </w:t>
      </w:r>
      <w:r>
        <w:rPr>
          <w:color w:val="19161B"/>
          <w:sz w:val="14"/>
          <w:szCs w:val="14"/>
        </w:rPr>
        <w:t>Sipas përkufizimit tek neni (2)(a) i Direktivës 2009/28/EC. Kjo përfshin konsumin final të energjisë plus humbjet në rrjet dhe konsumin vetanak të ngrohjes dhe energjisë elektrike në impiantet e energjisë elektrike dhe ngrohjes (NB: Kjo nuk përfshin konsumin e energjisë elektrike për hidro-depozitimin me pompa apo për transformimin në kazanë elektrike apo pompa të ngrohjes në impiantet e ngrohjes qendrore).</w:t>
      </w:r>
    </w:p>
  </w:footnote>
  <w:footnote w:id="6">
    <w:p w14:paraId="0A1435FD" w14:textId="77777777" w:rsidR="00077D78" w:rsidRDefault="00077D78" w:rsidP="00DC7601">
      <w:pPr>
        <w:pStyle w:val="FootnoteText"/>
      </w:pPr>
      <w:r>
        <w:rPr>
          <w:rStyle w:val="FootnoteReference"/>
          <w:sz w:val="16"/>
          <w:szCs w:val="16"/>
        </w:rPr>
        <w:footnoteRef/>
      </w:r>
      <w:r>
        <w:rPr>
          <w:sz w:val="16"/>
          <w:szCs w:val="16"/>
        </w:rPr>
        <w:t xml:space="preserve"> </w:t>
      </w:r>
      <w:r>
        <w:rPr>
          <w:color w:val="19161B"/>
          <w:sz w:val="16"/>
          <w:szCs w:val="16"/>
        </w:rPr>
        <w:t>Është konsumi final i energjisë i të gjitha formave të energjisë, përveç energjisë elektrike për qëllime që nuk janë transport, plus konsumi vetanak i ngrohjes në impiantet e energjisë elektrike dhe ngrohjes si dhe humbjet e ngrohjes në rrjete (pikat ‘2. Konsumi vetanal nga impiantet’ dhe ‘11. Humbjet në transmision dhe distribucion nga Rregullorja (EC) Nr. 1099/2008 (f. 23-24).</w:t>
      </w:r>
    </w:p>
  </w:footnote>
  <w:footnote w:id="7">
    <w:p w14:paraId="4467EDAC" w14:textId="77777777" w:rsidR="00077D78" w:rsidRDefault="00077D78" w:rsidP="00DC7601">
      <w:pPr>
        <w:pStyle w:val="FootnoteText"/>
      </w:pPr>
      <w:r>
        <w:rPr>
          <w:rStyle w:val="FootnoteReference"/>
          <w:sz w:val="16"/>
          <w:szCs w:val="16"/>
        </w:rPr>
        <w:footnoteRef/>
      </w:r>
      <w:r>
        <w:rPr>
          <w:sz w:val="16"/>
          <w:szCs w:val="16"/>
        </w:rPr>
        <w:t xml:space="preserve"> </w:t>
      </w:r>
      <w:r>
        <w:rPr>
          <w:color w:val="19161B"/>
          <w:sz w:val="16"/>
          <w:szCs w:val="16"/>
        </w:rPr>
        <w:t>Konsumi bruto i energjisë elektrike është prodhimi shtetëror bruto i energjisë elektrike, duke përfshirë auto-prodhimin, plus importet, minus eksportet</w:t>
      </w:r>
    </w:p>
  </w:footnote>
  <w:footnote w:id="8">
    <w:p w14:paraId="6215B341" w14:textId="77777777" w:rsidR="00077D78" w:rsidRDefault="00077D78" w:rsidP="00DC7601">
      <w:pPr>
        <w:pStyle w:val="FootnoteText"/>
      </w:pPr>
      <w:r>
        <w:rPr>
          <w:rStyle w:val="FootnoteReference"/>
          <w:sz w:val="16"/>
          <w:szCs w:val="16"/>
        </w:rPr>
        <w:footnoteRef/>
      </w:r>
      <w:r>
        <w:rPr>
          <w:sz w:val="16"/>
          <w:szCs w:val="16"/>
        </w:rPr>
        <w:t xml:space="preserve"> </w:t>
      </w:r>
      <w:r>
        <w:rPr>
          <w:color w:val="19161B"/>
          <w:sz w:val="16"/>
          <w:szCs w:val="16"/>
        </w:rPr>
        <w:t>Konsumi në transport sipas përkufizimit tek neni 3(4)(a) i Direktivës 2009/28/EC. Energjia elektrike e ripërtërishme në transportin rrugor në këtë figurë duhet shumëzuar me një faktor prej 2,5, siç theksohet tek neni 3(4)(c) të Direktivës 2009/28/EC.</w:t>
      </w:r>
    </w:p>
  </w:footnote>
  <w:footnote w:id="9">
    <w:p w14:paraId="758AA14C" w14:textId="77777777" w:rsidR="00077D78" w:rsidRDefault="00077D78" w:rsidP="00DC7601">
      <w:pPr>
        <w:pStyle w:val="FootnoteText"/>
      </w:pPr>
      <w:r>
        <w:rPr>
          <w:rStyle w:val="Smbolodenotaalpie"/>
          <w:sz w:val="16"/>
          <w:szCs w:val="16"/>
        </w:rPr>
        <w:footnoteRef/>
      </w:r>
      <w:r>
        <w:rPr>
          <w:sz w:val="16"/>
          <w:szCs w:val="16"/>
        </w:rPr>
        <w:t xml:space="preserve"> </w:t>
      </w:r>
      <w:r>
        <w:rPr>
          <w:color w:val="19161B"/>
          <w:sz w:val="14"/>
          <w:szCs w:val="14"/>
        </w:rPr>
        <w:t>Sipas përkufizimit tek neni (2)(a) i Direktivës 2009/28/EC. Kjo përfshin konsumin final të energjisë plus humbjet në rrjet dhe konsumin vetanak të ngrohjes dhe energjisë elektrike në impiantet e energjisë elektrike dhe ngrohjes (NB: Kjo nuk përfshin konsumin e energjisë elektrike për hidro-depozitimin me pompa apo për transformimin në kazanë elektrike apo pompa të ngrohjes në impiantet e ngrohjes qendrore).</w:t>
      </w:r>
    </w:p>
  </w:footnote>
  <w:footnote w:id="10">
    <w:p w14:paraId="625AD4E5" w14:textId="77777777" w:rsidR="00077D78" w:rsidRDefault="00077D78" w:rsidP="00771301">
      <w:pPr>
        <w:pStyle w:val="FootnoteText"/>
      </w:pPr>
      <w:r>
        <w:rPr>
          <w:rStyle w:val="FootnoteReference"/>
          <w:sz w:val="16"/>
          <w:szCs w:val="16"/>
        </w:rPr>
        <w:footnoteRef/>
      </w:r>
      <w:r>
        <w:rPr>
          <w:sz w:val="16"/>
          <w:szCs w:val="16"/>
        </w:rPr>
        <w:t xml:space="preserve"> Pjesa e energjisë së ripërtërishme në ngrohje e ftohje: konsumi final bruto i energjisë nga burimet e ripërtërishme për ngrohje e ftohje (sipas përkufizimit tek nenet 5(1)b) dhe 5(4) të Direktivës 2009/28/EC) pjesëtuar me konsumin finaë bruto të energjisë për ngrohje e ftohje. Linja (A) nga Tabela 4a pjesëtuar me linjën (1) të Tabelës 1.</w:t>
      </w:r>
    </w:p>
  </w:footnote>
  <w:footnote w:id="11">
    <w:p w14:paraId="51A651CC" w14:textId="77777777" w:rsidR="00077D78" w:rsidRDefault="00077D78" w:rsidP="00771301">
      <w:pPr>
        <w:pStyle w:val="FootnoteText"/>
      </w:pPr>
      <w:r>
        <w:rPr>
          <w:rStyle w:val="FootnoteReference"/>
          <w:sz w:val="16"/>
          <w:szCs w:val="16"/>
        </w:rPr>
        <w:footnoteRef/>
      </w:r>
      <w:r>
        <w:rPr>
          <w:sz w:val="16"/>
          <w:szCs w:val="16"/>
        </w:rPr>
        <w:t xml:space="preserve"> Pjesa e energjisë së ripërtërishme në energji elektrike: konsumi final bruto i energjisë elektrike nga burimet e ripërtërishme për energji elektrike (sipas përkufizimit tek nenet 5(1)(a) dhe 5(3) të Direktivës 2009/28/EC) pjesëtuar me konsumin total final bruto të energjisë elektrike. Rreshti (A) nga Tabela 4a pjesëtuar me rreshtin (2) të Tabelës 1.</w:t>
      </w:r>
    </w:p>
  </w:footnote>
  <w:footnote w:id="12">
    <w:p w14:paraId="749CDB91" w14:textId="77777777" w:rsidR="00077D78" w:rsidRPr="008F4F41" w:rsidRDefault="00077D78" w:rsidP="00771301">
      <w:r>
        <w:rPr>
          <w:rStyle w:val="FootnoteReference"/>
          <w:sz w:val="16"/>
          <w:szCs w:val="16"/>
        </w:rPr>
        <w:footnoteRef/>
      </w:r>
      <w:r>
        <w:rPr>
          <w:sz w:val="16"/>
          <w:szCs w:val="16"/>
        </w:rPr>
        <w:t xml:space="preserve"> Pjesa e energjisë së ripërtërishme në transport: energjia finale nga burimet e ripërtërishme konsumuar në transport (cf. Neni 5(1)(c) dhe 5(5) i Direktivës 2009/28/EC) pjesëtuar me konsumin në transport të 1) benzinës; 2) dizelit; 3) bio-lëndëve të përdorura në transport rrugor dhe hekurudhor si dhe 4) energjia elektrike në transportin tokësor (siç pasqyrohet në rreshtin 3 të Tabelës 1). Linja (J) nga Tabela 4b pjesëtuar me rreshtin (3) të Tabelës 1.</w:t>
      </w:r>
    </w:p>
  </w:footnote>
  <w:footnote w:id="13">
    <w:p w14:paraId="40A04F6C" w14:textId="77777777" w:rsidR="00077D78" w:rsidRDefault="00077D78" w:rsidP="00771301">
      <w:pPr>
        <w:pStyle w:val="FootnoteText"/>
      </w:pPr>
      <w:r>
        <w:rPr>
          <w:rStyle w:val="FootnoteReference"/>
          <w:sz w:val="16"/>
          <w:szCs w:val="16"/>
        </w:rPr>
        <w:footnoteRef/>
      </w:r>
      <w:r>
        <w:rPr>
          <w:sz w:val="16"/>
          <w:szCs w:val="16"/>
        </w:rPr>
        <w:t xml:space="preserve"> Pjesa e energjisë së ripërtërishme në konsumin final bruto të energjisë. Rreshti (G) nga Tabela 4a pjesëtuar me rreshtin (4) të Tabelës 1.</w:t>
      </w:r>
    </w:p>
  </w:footnote>
  <w:footnote w:id="14">
    <w:p w14:paraId="6113C4EA" w14:textId="77777777" w:rsidR="00077D78" w:rsidRDefault="00077D78" w:rsidP="00771301">
      <w:pPr>
        <w:pStyle w:val="FootnoteText"/>
      </w:pPr>
      <w:r>
        <w:rPr>
          <w:rStyle w:val="FootnoteReference"/>
          <w:sz w:val="16"/>
          <w:szCs w:val="16"/>
        </w:rPr>
        <w:footnoteRef/>
      </w:r>
      <w:r>
        <w:rPr>
          <w:sz w:val="16"/>
          <w:szCs w:val="16"/>
        </w:rPr>
        <w:t xml:space="preserve"> Në pikë përqindjeje të hisjes së përgjithshme të BRE-ve.</w:t>
      </w:r>
    </w:p>
  </w:footnote>
  <w:footnote w:id="15">
    <w:p w14:paraId="4E762750" w14:textId="77777777" w:rsidR="00077D78" w:rsidRDefault="00077D78" w:rsidP="00771301">
      <w:pPr>
        <w:pStyle w:val="FootnoteText"/>
      </w:pPr>
      <w:r>
        <w:rPr>
          <w:rStyle w:val="FootnoteReference"/>
          <w:sz w:val="16"/>
          <w:szCs w:val="16"/>
        </w:rPr>
        <w:footnoteRef/>
      </w:r>
      <w:r>
        <w:rPr>
          <w:sz w:val="16"/>
          <w:szCs w:val="16"/>
        </w:rPr>
        <w:t xml:space="preserve"> Sipas përkufizimit tek Shtojca I.B e Direktivës 2009/28/EC.</w:t>
      </w:r>
    </w:p>
  </w:footnote>
  <w:footnote w:id="16">
    <w:p w14:paraId="79BA358D" w14:textId="0023FAD6" w:rsidR="00077D78" w:rsidRPr="002C0ABA" w:rsidRDefault="00077D78">
      <w:pPr>
        <w:pStyle w:val="FootnoteText"/>
        <w:rPr>
          <w:sz w:val="16"/>
        </w:rPr>
      </w:pPr>
      <w:r>
        <w:rPr>
          <w:rStyle w:val="FootnoteReference"/>
        </w:rPr>
        <w:footnoteRef/>
      </w:r>
      <w:r>
        <w:t xml:space="preserve"> </w:t>
      </w:r>
      <w:r>
        <w:rPr>
          <w:sz w:val="16"/>
        </w:rPr>
        <w:t>Numrat mund të mos llogariten mirë për shkak të rrumbullakësimeve</w:t>
      </w:r>
    </w:p>
  </w:footnote>
  <w:footnote w:id="17">
    <w:p w14:paraId="25CF0DE4" w14:textId="77777777" w:rsidR="00077D78" w:rsidRDefault="00077D78" w:rsidP="00F91663">
      <w:pPr>
        <w:pStyle w:val="FootnoteText"/>
      </w:pPr>
      <w:r>
        <w:rPr>
          <w:rStyle w:val="FootnoteReference"/>
          <w:sz w:val="16"/>
          <w:szCs w:val="16"/>
        </w:rPr>
        <w:footnoteRef/>
      </w:r>
      <w:r>
        <w:rPr>
          <w:sz w:val="16"/>
          <w:szCs w:val="16"/>
        </w:rPr>
        <w:t xml:space="preserve"> </w:t>
      </w:r>
      <w:r>
        <w:rPr>
          <w:color w:val="19161A"/>
          <w:sz w:val="16"/>
          <w:szCs w:val="16"/>
        </w:rPr>
        <w:t>Sipas nenit 5(1) të Direktivës 2009/28/EC, gazi, energjia elektrike dhe hidrogjeni nga burimet e ripërtërishme të energjisë merren në konsideratë vetëm një herë. Nuk lejohet numërimi i dyfishtë.</w:t>
      </w:r>
    </w:p>
  </w:footnote>
  <w:footnote w:id="18">
    <w:p w14:paraId="1354B7E7" w14:textId="77777777" w:rsidR="00077D78" w:rsidRDefault="00077D78" w:rsidP="00F91663">
      <w:pPr>
        <w:pStyle w:val="FootnoteText"/>
      </w:pPr>
      <w:r>
        <w:rPr>
          <w:rStyle w:val="FootnoteReference"/>
          <w:sz w:val="16"/>
          <w:szCs w:val="16"/>
        </w:rPr>
        <w:footnoteRef/>
      </w:r>
      <w:r>
        <w:rPr>
          <w:sz w:val="16"/>
          <w:szCs w:val="16"/>
        </w:rPr>
        <w:t xml:space="preserve"> Përmban të gjitha BRE-të e përdorura në transport, duke përfshirë energjinë elektrike, hidrogjenin dhe gazin nga burime të ripërtërishme të energjisë, duke përjashtuar bio-kaburantet që nuk janë në përputhje me kriteret e qëndrueshmërisë (cf. Neni 5(1) nën-paragrafi i fundit). Të specifikohen vlerat aktuale pa përdorur faktorët e multiplikimit.</w:t>
      </w:r>
    </w:p>
  </w:footnote>
  <w:footnote w:id="19">
    <w:p w14:paraId="341FC4C1" w14:textId="77777777" w:rsidR="00077D78" w:rsidRDefault="00077D78" w:rsidP="00F91663">
      <w:pPr>
        <w:pStyle w:val="FootnoteText"/>
      </w:pPr>
      <w:r>
        <w:rPr>
          <w:rStyle w:val="FootnoteReference"/>
          <w:sz w:val="16"/>
          <w:szCs w:val="16"/>
        </w:rPr>
        <w:footnoteRef/>
      </w:r>
      <w:r>
        <w:rPr>
          <w:sz w:val="16"/>
          <w:szCs w:val="16"/>
        </w:rPr>
        <w:t xml:space="preserve"> Të specifikohen vlerat aktuale pa përdorur faktorët e multiplikimit.</w:t>
      </w:r>
    </w:p>
  </w:footnote>
  <w:footnote w:id="20">
    <w:p w14:paraId="41CBDD8E" w14:textId="77777777" w:rsidR="00077D78" w:rsidRPr="00EE5430" w:rsidRDefault="00077D78" w:rsidP="00A7659D">
      <w:pPr>
        <w:pStyle w:val="FootnoteText"/>
      </w:pPr>
      <w:r>
        <w:rPr>
          <w:rStyle w:val="Smbolodenotaalpie"/>
          <w:sz w:val="16"/>
          <w:szCs w:val="16"/>
        </w:rPr>
        <w:footnoteRef/>
      </w:r>
      <w:r>
        <w:rPr>
          <w:sz w:val="16"/>
          <w:szCs w:val="16"/>
        </w:rPr>
        <w:t>Sasia e resursit në m</w:t>
      </w:r>
      <w:r>
        <w:rPr>
          <w:sz w:val="16"/>
          <w:szCs w:val="16"/>
          <w:vertAlign w:val="superscript"/>
        </w:rPr>
        <w:t>3</w:t>
      </w:r>
      <w:r>
        <w:rPr>
          <w:sz w:val="16"/>
          <w:szCs w:val="16"/>
        </w:rPr>
        <w:t xml:space="preserve"> për kategorinë A dhe nën-kategoritë e saj: si dhe në tonë, për kategoritë B dhe C si dhe nën-kategoritë e tyre.</w:t>
      </w:r>
    </w:p>
  </w:footnote>
  <w:footnote w:id="21">
    <w:p w14:paraId="44FF6854" w14:textId="77777777" w:rsidR="00077D78" w:rsidRDefault="00077D78" w:rsidP="00A7659D">
      <w:pPr>
        <w:pStyle w:val="FootnoteText"/>
      </w:pPr>
      <w:r>
        <w:rPr>
          <w:rStyle w:val="Smbolodenotaalpie"/>
          <w:sz w:val="16"/>
          <w:szCs w:val="16"/>
        </w:rPr>
        <w:footnoteRef/>
      </w:r>
      <w:r>
        <w:rPr>
          <w:sz w:val="16"/>
          <w:szCs w:val="16"/>
        </w:rPr>
        <w:t>Biomasa nga pylltaria duhet të përfshijë edhe biomasën nga industritë me bazë pyjore. Tek kategoria e biomasës nga pylltaria, lëndët e ngurta, si ashklat, peletet dhe briketet duhen përfshirë në nën-kategoritë përkatëse të origjinës.</w:t>
      </w:r>
    </w:p>
  </w:footnote>
  <w:footnote w:id="22">
    <w:p w14:paraId="15522CE5" w14:textId="77777777" w:rsidR="00077D78" w:rsidRPr="00886C4D" w:rsidRDefault="00077D78" w:rsidP="00A7659D">
      <w:pPr>
        <w:pStyle w:val="FootnoteText"/>
        <w:rPr>
          <w:rFonts w:ascii="Verdana" w:hAnsi="Verdana"/>
          <w:sz w:val="14"/>
          <w:szCs w:val="14"/>
        </w:rPr>
      </w:pPr>
      <w:r>
        <w:rPr>
          <w:rStyle w:val="FootnoteReference"/>
          <w:rFonts w:ascii="Verdana" w:hAnsi="Verdana"/>
          <w:sz w:val="14"/>
          <w:szCs w:val="14"/>
        </w:rPr>
        <w:footnoteRef/>
      </w:r>
      <w:r>
        <w:rPr>
          <w:rFonts w:ascii="Verdana" w:hAnsi="Verdana"/>
          <w:sz w:val="14"/>
          <w:szCs w:val="14"/>
        </w:rPr>
        <w:t xml:space="preserve"> Të dhënat në kolonën “prodhimi primar i energjisë” i referohen energjisë finale brenda bio-lëndëve të prodhuara.</w:t>
      </w:r>
    </w:p>
  </w:footnote>
  <w:footnote w:id="23">
    <w:p w14:paraId="46A5C418" w14:textId="3116895D" w:rsidR="00077D78" w:rsidRDefault="00077D78">
      <w:pPr>
        <w:pStyle w:val="FootnoteText"/>
      </w:pPr>
      <w:r>
        <w:rPr>
          <w:rStyle w:val="FootnoteReference"/>
        </w:rPr>
        <w:footnoteRef/>
      </w:r>
      <w:r>
        <w:t xml:space="preserve"> Shih </w:t>
      </w:r>
      <w:hyperlink r:id="rId1" w:history="1">
        <w:r>
          <w:rPr>
            <w:rStyle w:val="Hyperlink"/>
          </w:rPr>
          <w:t>https://www.energy-community.org/news/Energy-Community-News/2018/02/07.html</w:t>
        </w:r>
      </w:hyperlink>
      <w:r>
        <w:rPr>
          <w:rStyle w:val="Hyperlink"/>
        </w:rPr>
        <w:t xml:space="preserve"> </w:t>
      </w:r>
    </w:p>
  </w:footnote>
  <w:footnote w:id="24">
    <w:p w14:paraId="0C910085" w14:textId="77777777" w:rsidR="00077D78" w:rsidRPr="007563F9" w:rsidRDefault="00077D78">
      <w:pPr>
        <w:pStyle w:val="FootnoteText"/>
      </w:pPr>
      <w:r>
        <w:rPr>
          <w:rStyle w:val="FootnoteReference"/>
        </w:rPr>
        <w:footnoteRef/>
      </w:r>
      <w:r>
        <w:t xml:space="preserve"> Duke marrë parasysh vetëm ato që janë në pajtim me kriteret e qëndrueshmërisë, shih nenin 5(1) të Direktivës 2009/28/EC, nën-paragrafi i fundit</w:t>
      </w:r>
    </w:p>
  </w:footnote>
  <w:footnote w:id="25">
    <w:p w14:paraId="31CDB20E" w14:textId="77777777" w:rsidR="00077D78" w:rsidRPr="007563F9" w:rsidRDefault="00077D78">
      <w:pPr>
        <w:pStyle w:val="FootnoteText"/>
      </w:pPr>
      <w:r>
        <w:rPr>
          <w:rStyle w:val="FootnoteReference"/>
        </w:rPr>
        <w:footnoteRef/>
      </w:r>
      <w:r>
        <w:t xml:space="preserve"> Duke marrë parasysh vetëm ato që janë në pajtim me kriteret e qëndrueshmërisë, shih nenin 5(1) të Direktivës 2009/28/EC, nën-paragrafi i fundit.</w:t>
      </w:r>
    </w:p>
  </w:footnote>
  <w:footnote w:id="26">
    <w:p w14:paraId="3B347E5B" w14:textId="77777777" w:rsidR="00077D78" w:rsidRPr="007563F9" w:rsidRDefault="00077D78">
      <w:pPr>
        <w:pStyle w:val="FootnoteText"/>
      </w:pPr>
      <w:r>
        <w:rPr>
          <w:rStyle w:val="FootnoteReference"/>
        </w:rPr>
        <w:footnoteRef/>
      </w:r>
      <w:r>
        <w:t xml:space="preserve"> Duke marrë parasysh vetëm ato që janë në pajtim me kriteret e qëndrueshmërisë, shih nenin 5(1) të Direktivës 2009/28/EC, nën-paragrafi i fundit.</w:t>
      </w:r>
    </w:p>
  </w:footnote>
  <w:footnote w:id="27">
    <w:p w14:paraId="67E03688" w14:textId="77777777" w:rsidR="00077D78" w:rsidRPr="007563F9" w:rsidRDefault="00077D78">
      <w:pPr>
        <w:pStyle w:val="FootnoteText"/>
      </w:pPr>
      <w:r>
        <w:rPr>
          <w:rStyle w:val="FootnoteReference"/>
        </w:rPr>
        <w:footnoteRef/>
      </w:r>
      <w:r>
        <w:t xml:space="preserve"> Ngrohja dhe/ose ftohja qendrore nga konsumi i përgjithshëm i ngrohjes dhe ftohjes së ripërtërishme (BRE-NQ).</w:t>
      </w:r>
    </w:p>
  </w:footnote>
  <w:footnote w:id="28">
    <w:p w14:paraId="1F98F891" w14:textId="77777777" w:rsidR="00077D78" w:rsidRPr="007563F9" w:rsidRDefault="00077D78">
      <w:pPr>
        <w:pStyle w:val="FootnoteText"/>
      </w:pPr>
      <w:r>
        <w:rPr>
          <w:rStyle w:val="FootnoteReference"/>
        </w:rPr>
        <w:footnoteRef/>
      </w:r>
      <w:r>
        <w:t xml:space="preserve"> Nga i gjithë konsumi i përgjithshëm i ngrohjes dhe ftohjes së ripërtërishme, e gjithë sasia e bio-dizelit.</w:t>
      </w:r>
    </w:p>
  </w:footnote>
  <w:footnote w:id="29">
    <w:p w14:paraId="4A84A180" w14:textId="77777777" w:rsidR="00077D78" w:rsidRPr="007563F9" w:rsidRDefault="00077D78">
      <w:pPr>
        <w:pStyle w:val="FootnoteText"/>
      </w:pPr>
      <w:r>
        <w:rPr>
          <w:rStyle w:val="FootnoteReference"/>
        </w:rPr>
        <w:footnoteRef/>
      </w:r>
      <w:r>
        <w:t xml:space="preserve"> Bio-lëndët që janë përfshirë tek neni 21(2) i Direktivës 2009/28/EC.</w:t>
      </w:r>
    </w:p>
  </w:footnote>
  <w:footnote w:id="30">
    <w:p w14:paraId="5D3488A2" w14:textId="77777777" w:rsidR="00077D78" w:rsidRPr="007563F9" w:rsidRDefault="00077D78">
      <w:pPr>
        <w:pStyle w:val="FootnoteText"/>
      </w:pPr>
      <w:r>
        <w:rPr>
          <w:rStyle w:val="FootnoteReference"/>
        </w:rPr>
        <w:footnoteRef/>
      </w:r>
      <w:r>
        <w:t xml:space="preserve"> Nga e gjithë sasia e bioetanol/bio-ETBE.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6FEA"/>
    <w:multiLevelType w:val="hybridMultilevel"/>
    <w:tmpl w:val="86FA9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AA1C38"/>
    <w:multiLevelType w:val="hybridMultilevel"/>
    <w:tmpl w:val="7D4E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7A0517"/>
    <w:multiLevelType w:val="hybridMultilevel"/>
    <w:tmpl w:val="DF102A9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DC437F4"/>
    <w:multiLevelType w:val="hybridMultilevel"/>
    <w:tmpl w:val="7E3431C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E841EBF"/>
    <w:multiLevelType w:val="hybridMultilevel"/>
    <w:tmpl w:val="6302A25A"/>
    <w:lvl w:ilvl="0" w:tplc="C2B2DC4E">
      <w:start w:val="1"/>
      <w:numFmt w:val="bullet"/>
      <w:lvlText w:val="-"/>
      <w:lvlJc w:val="left"/>
      <w:pPr>
        <w:ind w:left="269"/>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1" w:tplc="56EE4598">
      <w:start w:val="1"/>
      <w:numFmt w:val="bullet"/>
      <w:lvlText w:val="o"/>
      <w:lvlJc w:val="left"/>
      <w:pPr>
        <w:ind w:left="1252"/>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2" w:tplc="579A031A">
      <w:start w:val="1"/>
      <w:numFmt w:val="bullet"/>
      <w:lvlText w:val="▪"/>
      <w:lvlJc w:val="left"/>
      <w:pPr>
        <w:ind w:left="1972"/>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3" w:tplc="43DCB0B4">
      <w:start w:val="1"/>
      <w:numFmt w:val="bullet"/>
      <w:lvlText w:val="•"/>
      <w:lvlJc w:val="left"/>
      <w:pPr>
        <w:ind w:left="2692"/>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4" w:tplc="552A81DA">
      <w:start w:val="1"/>
      <w:numFmt w:val="bullet"/>
      <w:lvlText w:val="o"/>
      <w:lvlJc w:val="left"/>
      <w:pPr>
        <w:ind w:left="3412"/>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5" w:tplc="1E7E17B6">
      <w:start w:val="1"/>
      <w:numFmt w:val="bullet"/>
      <w:lvlText w:val="▪"/>
      <w:lvlJc w:val="left"/>
      <w:pPr>
        <w:ind w:left="4132"/>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6" w:tplc="F22ACC68">
      <w:start w:val="1"/>
      <w:numFmt w:val="bullet"/>
      <w:lvlText w:val="•"/>
      <w:lvlJc w:val="left"/>
      <w:pPr>
        <w:ind w:left="4852"/>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7" w:tplc="6BF89B74">
      <w:start w:val="1"/>
      <w:numFmt w:val="bullet"/>
      <w:lvlText w:val="o"/>
      <w:lvlJc w:val="left"/>
      <w:pPr>
        <w:ind w:left="5572"/>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8" w:tplc="3E48D30E">
      <w:start w:val="1"/>
      <w:numFmt w:val="bullet"/>
      <w:lvlText w:val="▪"/>
      <w:lvlJc w:val="left"/>
      <w:pPr>
        <w:ind w:left="6292"/>
      </w:pPr>
      <w:rPr>
        <w:rFonts w:ascii="Arial" w:eastAsia="Arial" w:hAnsi="Arial" w:cs="Arial"/>
        <w:b w:val="0"/>
        <w:i w:val="0"/>
        <w:strike w:val="0"/>
        <w:dstrike w:val="0"/>
        <w:color w:val="000000"/>
        <w:sz w:val="16"/>
        <w:u w:val="none" w:color="000000"/>
        <w:bdr w:val="none" w:sz="0" w:space="0" w:color="auto"/>
        <w:shd w:val="clear" w:color="auto" w:fill="auto"/>
        <w:vertAlign w:val="baseline"/>
      </w:rPr>
    </w:lvl>
  </w:abstractNum>
  <w:abstractNum w:abstractNumId="5">
    <w:nsid w:val="19E806AD"/>
    <w:multiLevelType w:val="hybridMultilevel"/>
    <w:tmpl w:val="B524C0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C8262F"/>
    <w:multiLevelType w:val="hybridMultilevel"/>
    <w:tmpl w:val="B908EA98"/>
    <w:lvl w:ilvl="0" w:tplc="AB82139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291B1C"/>
    <w:multiLevelType w:val="hybridMultilevel"/>
    <w:tmpl w:val="60DA12F0"/>
    <w:lvl w:ilvl="0" w:tplc="5812389E">
      <w:start w:val="1"/>
      <w:numFmt w:val="lowerLetter"/>
      <w:lvlText w:val="(%1)"/>
      <w:lvlJc w:val="left"/>
      <w:pPr>
        <w:ind w:left="360" w:hanging="360"/>
      </w:pPr>
      <w:rPr>
        <w:rFonts w:cs="Times New Roman" w:hint="default"/>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8">
    <w:nsid w:val="299B6C1C"/>
    <w:multiLevelType w:val="hybridMultilevel"/>
    <w:tmpl w:val="99E43C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C9214D"/>
    <w:multiLevelType w:val="hybridMultilevel"/>
    <w:tmpl w:val="9EDA7F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792A23"/>
    <w:multiLevelType w:val="hybridMultilevel"/>
    <w:tmpl w:val="9A2870B0"/>
    <w:lvl w:ilvl="0" w:tplc="7E32C820">
      <w:start w:val="1"/>
      <w:numFmt w:val="bullet"/>
      <w:lvlText w:val="•"/>
      <w:lvlJc w:val="left"/>
      <w:pPr>
        <w:ind w:left="121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EF4CFEBA">
      <w:start w:val="1"/>
      <w:numFmt w:val="bullet"/>
      <w:lvlText w:val="o"/>
      <w:lvlJc w:val="left"/>
      <w:pPr>
        <w:ind w:left="229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D5A2225E">
      <w:start w:val="1"/>
      <w:numFmt w:val="bullet"/>
      <w:lvlText w:val="▪"/>
      <w:lvlJc w:val="left"/>
      <w:pPr>
        <w:ind w:left="301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D14C01BE">
      <w:start w:val="1"/>
      <w:numFmt w:val="bullet"/>
      <w:lvlText w:val="•"/>
      <w:lvlJc w:val="left"/>
      <w:pPr>
        <w:ind w:left="373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3AFEB524">
      <w:start w:val="1"/>
      <w:numFmt w:val="bullet"/>
      <w:lvlText w:val="o"/>
      <w:lvlJc w:val="left"/>
      <w:pPr>
        <w:ind w:left="445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AB345C58">
      <w:start w:val="1"/>
      <w:numFmt w:val="bullet"/>
      <w:lvlText w:val="▪"/>
      <w:lvlJc w:val="left"/>
      <w:pPr>
        <w:ind w:left="517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020863D6">
      <w:start w:val="1"/>
      <w:numFmt w:val="bullet"/>
      <w:lvlText w:val="•"/>
      <w:lvlJc w:val="left"/>
      <w:pPr>
        <w:ind w:left="589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8D08E890">
      <w:start w:val="1"/>
      <w:numFmt w:val="bullet"/>
      <w:lvlText w:val="o"/>
      <w:lvlJc w:val="left"/>
      <w:pPr>
        <w:ind w:left="661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D3813C2">
      <w:start w:val="1"/>
      <w:numFmt w:val="bullet"/>
      <w:lvlText w:val="▪"/>
      <w:lvlJc w:val="left"/>
      <w:pPr>
        <w:ind w:left="733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11">
    <w:nsid w:val="2F8B309A"/>
    <w:multiLevelType w:val="hybridMultilevel"/>
    <w:tmpl w:val="9A46ECA6"/>
    <w:lvl w:ilvl="0" w:tplc="AB82139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CA7E47"/>
    <w:multiLevelType w:val="hybridMultilevel"/>
    <w:tmpl w:val="72F24CDE"/>
    <w:lvl w:ilvl="0" w:tplc="0408000F">
      <w:start w:val="1"/>
      <w:numFmt w:val="decimal"/>
      <w:lvlText w:val="%1."/>
      <w:lvlJc w:val="left"/>
      <w:pPr>
        <w:tabs>
          <w:tab w:val="num" w:pos="360"/>
        </w:tabs>
        <w:ind w:left="36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3">
    <w:nsid w:val="3C5C5E16"/>
    <w:multiLevelType w:val="hybridMultilevel"/>
    <w:tmpl w:val="70DC3B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C10962"/>
    <w:multiLevelType w:val="hybridMultilevel"/>
    <w:tmpl w:val="5BE623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FCB2097"/>
    <w:multiLevelType w:val="hybridMultilevel"/>
    <w:tmpl w:val="E420288E"/>
    <w:name w:val="WW8Num2722222222222222222"/>
    <w:lvl w:ilvl="0" w:tplc="5812389E">
      <w:start w:val="1"/>
      <w:numFmt w:val="lowerLetter"/>
      <w:lvlText w:val="(%1)"/>
      <w:lvlJc w:val="left"/>
      <w:pPr>
        <w:ind w:left="360" w:hanging="360"/>
      </w:pPr>
      <w:rPr>
        <w:rFonts w:cs="Times New Roman" w:hint="default"/>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16">
    <w:nsid w:val="44135351"/>
    <w:multiLevelType w:val="hybridMultilevel"/>
    <w:tmpl w:val="1DF4871A"/>
    <w:lvl w:ilvl="0" w:tplc="AB82139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1A024B"/>
    <w:multiLevelType w:val="hybridMultilevel"/>
    <w:tmpl w:val="43CE941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54B268B4"/>
    <w:multiLevelType w:val="hybridMultilevel"/>
    <w:tmpl w:val="28DCE4A2"/>
    <w:lvl w:ilvl="0" w:tplc="A7225A32">
      <w:start w:val="1"/>
      <w:numFmt w:val="bullet"/>
      <w:lvlText w:val="•"/>
      <w:lvlJc w:val="left"/>
      <w:pPr>
        <w:ind w:left="141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B1A236B0">
      <w:start w:val="1"/>
      <w:numFmt w:val="bullet"/>
      <w:lvlText w:val="o"/>
      <w:lvlJc w:val="left"/>
      <w:pPr>
        <w:ind w:left="229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6338B006">
      <w:start w:val="1"/>
      <w:numFmt w:val="bullet"/>
      <w:lvlText w:val="▪"/>
      <w:lvlJc w:val="left"/>
      <w:pPr>
        <w:ind w:left="301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8070EE56">
      <w:start w:val="1"/>
      <w:numFmt w:val="bullet"/>
      <w:lvlText w:val="•"/>
      <w:lvlJc w:val="left"/>
      <w:pPr>
        <w:ind w:left="373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0C6617A6">
      <w:start w:val="1"/>
      <w:numFmt w:val="bullet"/>
      <w:lvlText w:val="o"/>
      <w:lvlJc w:val="left"/>
      <w:pPr>
        <w:ind w:left="445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A0F8B2EA">
      <w:start w:val="1"/>
      <w:numFmt w:val="bullet"/>
      <w:lvlText w:val="▪"/>
      <w:lvlJc w:val="left"/>
      <w:pPr>
        <w:ind w:left="517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29AE4F32">
      <w:start w:val="1"/>
      <w:numFmt w:val="bullet"/>
      <w:lvlText w:val="•"/>
      <w:lvlJc w:val="left"/>
      <w:pPr>
        <w:ind w:left="589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A5DC915C">
      <w:start w:val="1"/>
      <w:numFmt w:val="bullet"/>
      <w:lvlText w:val="o"/>
      <w:lvlJc w:val="left"/>
      <w:pPr>
        <w:ind w:left="661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F89065A8">
      <w:start w:val="1"/>
      <w:numFmt w:val="bullet"/>
      <w:lvlText w:val="▪"/>
      <w:lvlJc w:val="left"/>
      <w:pPr>
        <w:ind w:left="733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19">
    <w:nsid w:val="5D500B72"/>
    <w:multiLevelType w:val="hybridMultilevel"/>
    <w:tmpl w:val="86F4DC66"/>
    <w:lvl w:ilvl="0" w:tplc="AB82139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F6646B"/>
    <w:multiLevelType w:val="hybridMultilevel"/>
    <w:tmpl w:val="6CC6883C"/>
    <w:lvl w:ilvl="0" w:tplc="5812389E">
      <w:start w:val="1"/>
      <w:numFmt w:val="lowerLetter"/>
      <w:lvlText w:val="(%1)"/>
      <w:lvlJc w:val="left"/>
      <w:pPr>
        <w:ind w:left="360" w:hanging="360"/>
      </w:pPr>
      <w:rPr>
        <w:rFonts w:cs="Times New Roman" w:hint="default"/>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21">
    <w:nsid w:val="646C5189"/>
    <w:multiLevelType w:val="hybridMultilevel"/>
    <w:tmpl w:val="5A96A40C"/>
    <w:lvl w:ilvl="0" w:tplc="AB82139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1C0FCF"/>
    <w:multiLevelType w:val="hybridMultilevel"/>
    <w:tmpl w:val="4CD04B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1F3F82"/>
    <w:multiLevelType w:val="hybridMultilevel"/>
    <w:tmpl w:val="5016B5D2"/>
    <w:lvl w:ilvl="0" w:tplc="CAEC5210">
      <w:start w:val="32"/>
      <w:numFmt w:val="decimal"/>
      <w:lvlText w:val="%1"/>
      <w:lvlJc w:val="left"/>
      <w:pPr>
        <w:ind w:left="709"/>
      </w:pPr>
      <w:rPr>
        <w:rFonts w:ascii="Arial" w:eastAsia="Arial" w:hAnsi="Arial" w:cs="Arial"/>
        <w:b w:val="0"/>
        <w:i w:val="0"/>
        <w:strike w:val="0"/>
        <w:dstrike w:val="0"/>
        <w:color w:val="000000"/>
        <w:sz w:val="16"/>
        <w:u w:val="none" w:color="000000"/>
        <w:bdr w:val="none" w:sz="0" w:space="0" w:color="auto"/>
        <w:shd w:val="clear" w:color="auto" w:fill="auto"/>
        <w:vertAlign w:val="superscript"/>
      </w:rPr>
    </w:lvl>
    <w:lvl w:ilvl="1" w:tplc="8E58320C">
      <w:start w:val="1"/>
      <w:numFmt w:val="lowerLetter"/>
      <w:lvlText w:val="%2"/>
      <w:lvlJc w:val="left"/>
      <w:pPr>
        <w:ind w:left="1080"/>
      </w:pPr>
      <w:rPr>
        <w:rFonts w:ascii="Arial" w:eastAsia="Arial" w:hAnsi="Arial" w:cs="Arial"/>
        <w:b w:val="0"/>
        <w:i w:val="0"/>
        <w:strike w:val="0"/>
        <w:dstrike w:val="0"/>
        <w:color w:val="000000"/>
        <w:sz w:val="16"/>
        <w:u w:val="none" w:color="000000"/>
        <w:bdr w:val="none" w:sz="0" w:space="0" w:color="auto"/>
        <w:shd w:val="clear" w:color="auto" w:fill="auto"/>
        <w:vertAlign w:val="superscript"/>
      </w:rPr>
    </w:lvl>
    <w:lvl w:ilvl="2" w:tplc="6F6AD1A2">
      <w:start w:val="1"/>
      <w:numFmt w:val="lowerRoman"/>
      <w:lvlText w:val="%3"/>
      <w:lvlJc w:val="left"/>
      <w:pPr>
        <w:ind w:left="1800"/>
      </w:pPr>
      <w:rPr>
        <w:rFonts w:ascii="Arial" w:eastAsia="Arial" w:hAnsi="Arial" w:cs="Arial"/>
        <w:b w:val="0"/>
        <w:i w:val="0"/>
        <w:strike w:val="0"/>
        <w:dstrike w:val="0"/>
        <w:color w:val="000000"/>
        <w:sz w:val="16"/>
        <w:u w:val="none" w:color="000000"/>
        <w:bdr w:val="none" w:sz="0" w:space="0" w:color="auto"/>
        <w:shd w:val="clear" w:color="auto" w:fill="auto"/>
        <w:vertAlign w:val="superscript"/>
      </w:rPr>
    </w:lvl>
    <w:lvl w:ilvl="3" w:tplc="F31ADF92">
      <w:start w:val="1"/>
      <w:numFmt w:val="decimal"/>
      <w:lvlText w:val="%4"/>
      <w:lvlJc w:val="left"/>
      <w:pPr>
        <w:ind w:left="2520"/>
      </w:pPr>
      <w:rPr>
        <w:rFonts w:ascii="Arial" w:eastAsia="Arial" w:hAnsi="Arial" w:cs="Arial"/>
        <w:b w:val="0"/>
        <w:i w:val="0"/>
        <w:strike w:val="0"/>
        <w:dstrike w:val="0"/>
        <w:color w:val="000000"/>
        <w:sz w:val="16"/>
        <w:u w:val="none" w:color="000000"/>
        <w:bdr w:val="none" w:sz="0" w:space="0" w:color="auto"/>
        <w:shd w:val="clear" w:color="auto" w:fill="auto"/>
        <w:vertAlign w:val="superscript"/>
      </w:rPr>
    </w:lvl>
    <w:lvl w:ilvl="4" w:tplc="6338B724">
      <w:start w:val="1"/>
      <w:numFmt w:val="lowerLetter"/>
      <w:lvlText w:val="%5"/>
      <w:lvlJc w:val="left"/>
      <w:pPr>
        <w:ind w:left="3240"/>
      </w:pPr>
      <w:rPr>
        <w:rFonts w:ascii="Arial" w:eastAsia="Arial" w:hAnsi="Arial" w:cs="Arial"/>
        <w:b w:val="0"/>
        <w:i w:val="0"/>
        <w:strike w:val="0"/>
        <w:dstrike w:val="0"/>
        <w:color w:val="000000"/>
        <w:sz w:val="16"/>
        <w:u w:val="none" w:color="000000"/>
        <w:bdr w:val="none" w:sz="0" w:space="0" w:color="auto"/>
        <w:shd w:val="clear" w:color="auto" w:fill="auto"/>
        <w:vertAlign w:val="superscript"/>
      </w:rPr>
    </w:lvl>
    <w:lvl w:ilvl="5" w:tplc="7A48C03A">
      <w:start w:val="1"/>
      <w:numFmt w:val="lowerRoman"/>
      <w:lvlText w:val="%6"/>
      <w:lvlJc w:val="left"/>
      <w:pPr>
        <w:ind w:left="3960"/>
      </w:pPr>
      <w:rPr>
        <w:rFonts w:ascii="Arial" w:eastAsia="Arial" w:hAnsi="Arial" w:cs="Arial"/>
        <w:b w:val="0"/>
        <w:i w:val="0"/>
        <w:strike w:val="0"/>
        <w:dstrike w:val="0"/>
        <w:color w:val="000000"/>
        <w:sz w:val="16"/>
        <w:u w:val="none" w:color="000000"/>
        <w:bdr w:val="none" w:sz="0" w:space="0" w:color="auto"/>
        <w:shd w:val="clear" w:color="auto" w:fill="auto"/>
        <w:vertAlign w:val="superscript"/>
      </w:rPr>
    </w:lvl>
    <w:lvl w:ilvl="6" w:tplc="20D85C22">
      <w:start w:val="1"/>
      <w:numFmt w:val="decimal"/>
      <w:lvlText w:val="%7"/>
      <w:lvlJc w:val="left"/>
      <w:pPr>
        <w:ind w:left="4680"/>
      </w:pPr>
      <w:rPr>
        <w:rFonts w:ascii="Arial" w:eastAsia="Arial" w:hAnsi="Arial" w:cs="Arial"/>
        <w:b w:val="0"/>
        <w:i w:val="0"/>
        <w:strike w:val="0"/>
        <w:dstrike w:val="0"/>
        <w:color w:val="000000"/>
        <w:sz w:val="16"/>
        <w:u w:val="none" w:color="000000"/>
        <w:bdr w:val="none" w:sz="0" w:space="0" w:color="auto"/>
        <w:shd w:val="clear" w:color="auto" w:fill="auto"/>
        <w:vertAlign w:val="superscript"/>
      </w:rPr>
    </w:lvl>
    <w:lvl w:ilvl="7" w:tplc="DCBA46D4">
      <w:start w:val="1"/>
      <w:numFmt w:val="lowerLetter"/>
      <w:lvlText w:val="%8"/>
      <w:lvlJc w:val="left"/>
      <w:pPr>
        <w:ind w:left="5400"/>
      </w:pPr>
      <w:rPr>
        <w:rFonts w:ascii="Arial" w:eastAsia="Arial" w:hAnsi="Arial" w:cs="Arial"/>
        <w:b w:val="0"/>
        <w:i w:val="0"/>
        <w:strike w:val="0"/>
        <w:dstrike w:val="0"/>
        <w:color w:val="000000"/>
        <w:sz w:val="16"/>
        <w:u w:val="none" w:color="000000"/>
        <w:bdr w:val="none" w:sz="0" w:space="0" w:color="auto"/>
        <w:shd w:val="clear" w:color="auto" w:fill="auto"/>
        <w:vertAlign w:val="superscript"/>
      </w:rPr>
    </w:lvl>
    <w:lvl w:ilvl="8" w:tplc="C84A51EE">
      <w:start w:val="1"/>
      <w:numFmt w:val="lowerRoman"/>
      <w:lvlText w:val="%9"/>
      <w:lvlJc w:val="left"/>
      <w:pPr>
        <w:ind w:left="6120"/>
      </w:pPr>
      <w:rPr>
        <w:rFonts w:ascii="Arial" w:eastAsia="Arial" w:hAnsi="Arial" w:cs="Arial"/>
        <w:b w:val="0"/>
        <w:i w:val="0"/>
        <w:strike w:val="0"/>
        <w:dstrike w:val="0"/>
        <w:color w:val="000000"/>
        <w:sz w:val="16"/>
        <w:u w:val="none" w:color="000000"/>
        <w:bdr w:val="none" w:sz="0" w:space="0" w:color="auto"/>
        <w:shd w:val="clear" w:color="auto" w:fill="auto"/>
        <w:vertAlign w:val="superscript"/>
      </w:rPr>
    </w:lvl>
  </w:abstractNum>
  <w:abstractNum w:abstractNumId="24">
    <w:nsid w:val="75366D0E"/>
    <w:multiLevelType w:val="hybridMultilevel"/>
    <w:tmpl w:val="FA88F77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7C632592"/>
    <w:multiLevelType w:val="hybridMultilevel"/>
    <w:tmpl w:val="30B87CAE"/>
    <w:lvl w:ilvl="0" w:tplc="AB82139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AC2F38"/>
    <w:multiLevelType w:val="hybridMultilevel"/>
    <w:tmpl w:val="507AC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7"/>
  </w:num>
  <w:num w:numId="4">
    <w:abstractNumId w:val="12"/>
  </w:num>
  <w:num w:numId="5">
    <w:abstractNumId w:val="24"/>
  </w:num>
  <w:num w:numId="6">
    <w:abstractNumId w:val="9"/>
  </w:num>
  <w:num w:numId="7">
    <w:abstractNumId w:val="1"/>
  </w:num>
  <w:num w:numId="8">
    <w:abstractNumId w:val="11"/>
  </w:num>
  <w:num w:numId="9">
    <w:abstractNumId w:val="6"/>
  </w:num>
  <w:num w:numId="10">
    <w:abstractNumId w:val="25"/>
  </w:num>
  <w:num w:numId="11">
    <w:abstractNumId w:val="21"/>
  </w:num>
  <w:num w:numId="12">
    <w:abstractNumId w:val="0"/>
  </w:num>
  <w:num w:numId="13">
    <w:abstractNumId w:val="16"/>
  </w:num>
  <w:num w:numId="14">
    <w:abstractNumId w:val="19"/>
  </w:num>
  <w:num w:numId="15">
    <w:abstractNumId w:val="26"/>
  </w:num>
  <w:num w:numId="16">
    <w:abstractNumId w:val="23"/>
  </w:num>
  <w:num w:numId="17">
    <w:abstractNumId w:val="18"/>
  </w:num>
  <w:num w:numId="18">
    <w:abstractNumId w:val="10"/>
  </w:num>
  <w:num w:numId="19">
    <w:abstractNumId w:val="4"/>
  </w:num>
  <w:num w:numId="20">
    <w:abstractNumId w:val="22"/>
  </w:num>
  <w:num w:numId="21">
    <w:abstractNumId w:val="13"/>
  </w:num>
  <w:num w:numId="22">
    <w:abstractNumId w:val="8"/>
  </w:num>
  <w:num w:numId="23">
    <w:abstractNumId w:val="5"/>
  </w:num>
  <w:num w:numId="24">
    <w:abstractNumId w:val="14"/>
  </w:num>
  <w:num w:numId="25">
    <w:abstractNumId w:val="17"/>
  </w:num>
  <w:num w:numId="26">
    <w:abstractNumId w:val="3"/>
  </w:num>
  <w:num w:numId="27">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A82"/>
    <w:rsid w:val="00004873"/>
    <w:rsid w:val="00006985"/>
    <w:rsid w:val="00014F9A"/>
    <w:rsid w:val="00023221"/>
    <w:rsid w:val="0002326C"/>
    <w:rsid w:val="00026AF4"/>
    <w:rsid w:val="000271E1"/>
    <w:rsid w:val="0002757F"/>
    <w:rsid w:val="0003521A"/>
    <w:rsid w:val="00036100"/>
    <w:rsid w:val="00036128"/>
    <w:rsid w:val="00036D60"/>
    <w:rsid w:val="00043891"/>
    <w:rsid w:val="00044311"/>
    <w:rsid w:val="00044796"/>
    <w:rsid w:val="00047D63"/>
    <w:rsid w:val="00053368"/>
    <w:rsid w:val="00053E26"/>
    <w:rsid w:val="00060D17"/>
    <w:rsid w:val="000643C2"/>
    <w:rsid w:val="00067B51"/>
    <w:rsid w:val="00073139"/>
    <w:rsid w:val="0007503A"/>
    <w:rsid w:val="00077D78"/>
    <w:rsid w:val="000822A2"/>
    <w:rsid w:val="00091742"/>
    <w:rsid w:val="000A115C"/>
    <w:rsid w:val="000A7264"/>
    <w:rsid w:val="000B2519"/>
    <w:rsid w:val="000D3339"/>
    <w:rsid w:val="000D5DE4"/>
    <w:rsid w:val="000E55F3"/>
    <w:rsid w:val="000E68E6"/>
    <w:rsid w:val="000F3A7D"/>
    <w:rsid w:val="00100A82"/>
    <w:rsid w:val="00101261"/>
    <w:rsid w:val="00107F28"/>
    <w:rsid w:val="0011035C"/>
    <w:rsid w:val="001252F2"/>
    <w:rsid w:val="00125866"/>
    <w:rsid w:val="001342EC"/>
    <w:rsid w:val="00135E8E"/>
    <w:rsid w:val="00137EA8"/>
    <w:rsid w:val="00144A17"/>
    <w:rsid w:val="00151828"/>
    <w:rsid w:val="0015305D"/>
    <w:rsid w:val="001562D0"/>
    <w:rsid w:val="00160C6D"/>
    <w:rsid w:val="001707CA"/>
    <w:rsid w:val="00172498"/>
    <w:rsid w:val="00181E9D"/>
    <w:rsid w:val="001824D6"/>
    <w:rsid w:val="00182A0B"/>
    <w:rsid w:val="00184B14"/>
    <w:rsid w:val="00196B47"/>
    <w:rsid w:val="001A09CC"/>
    <w:rsid w:val="001B070E"/>
    <w:rsid w:val="001C2EC9"/>
    <w:rsid w:val="001C6EC5"/>
    <w:rsid w:val="001D297B"/>
    <w:rsid w:val="001D3F4A"/>
    <w:rsid w:val="001E0AFA"/>
    <w:rsid w:val="001E0E74"/>
    <w:rsid w:val="001E1F5A"/>
    <w:rsid w:val="00200465"/>
    <w:rsid w:val="00202715"/>
    <w:rsid w:val="002042D8"/>
    <w:rsid w:val="0020496F"/>
    <w:rsid w:val="00210A80"/>
    <w:rsid w:val="0021164A"/>
    <w:rsid w:val="00217A2F"/>
    <w:rsid w:val="0022151B"/>
    <w:rsid w:val="0022227D"/>
    <w:rsid w:val="00224A8C"/>
    <w:rsid w:val="00225808"/>
    <w:rsid w:val="0022794B"/>
    <w:rsid w:val="00242F42"/>
    <w:rsid w:val="00244526"/>
    <w:rsid w:val="00255169"/>
    <w:rsid w:val="00262591"/>
    <w:rsid w:val="00263099"/>
    <w:rsid w:val="0026457C"/>
    <w:rsid w:val="00270C83"/>
    <w:rsid w:val="00271F16"/>
    <w:rsid w:val="002770CA"/>
    <w:rsid w:val="00280C04"/>
    <w:rsid w:val="002836FA"/>
    <w:rsid w:val="00283A50"/>
    <w:rsid w:val="00284795"/>
    <w:rsid w:val="00284934"/>
    <w:rsid w:val="0028568A"/>
    <w:rsid w:val="0028746D"/>
    <w:rsid w:val="002920FA"/>
    <w:rsid w:val="00292F1D"/>
    <w:rsid w:val="002A0864"/>
    <w:rsid w:val="002A2924"/>
    <w:rsid w:val="002A6F8C"/>
    <w:rsid w:val="002A770A"/>
    <w:rsid w:val="002B060F"/>
    <w:rsid w:val="002B5257"/>
    <w:rsid w:val="002C0126"/>
    <w:rsid w:val="002C06AE"/>
    <w:rsid w:val="002C0ABA"/>
    <w:rsid w:val="002D1CB6"/>
    <w:rsid w:val="002D4C1B"/>
    <w:rsid w:val="002D59B2"/>
    <w:rsid w:val="002E3C59"/>
    <w:rsid w:val="002F0604"/>
    <w:rsid w:val="002F3D8C"/>
    <w:rsid w:val="0031508F"/>
    <w:rsid w:val="0032669A"/>
    <w:rsid w:val="0033055B"/>
    <w:rsid w:val="00330D46"/>
    <w:rsid w:val="00331695"/>
    <w:rsid w:val="00340705"/>
    <w:rsid w:val="0034082B"/>
    <w:rsid w:val="00343EE1"/>
    <w:rsid w:val="00351357"/>
    <w:rsid w:val="003608C8"/>
    <w:rsid w:val="00365567"/>
    <w:rsid w:val="00366BB4"/>
    <w:rsid w:val="00366FE3"/>
    <w:rsid w:val="00373C32"/>
    <w:rsid w:val="003767C6"/>
    <w:rsid w:val="00380DFB"/>
    <w:rsid w:val="003820D9"/>
    <w:rsid w:val="00387E91"/>
    <w:rsid w:val="003901B4"/>
    <w:rsid w:val="00390D4E"/>
    <w:rsid w:val="00394276"/>
    <w:rsid w:val="003951F9"/>
    <w:rsid w:val="00396D48"/>
    <w:rsid w:val="003A1E97"/>
    <w:rsid w:val="003A4FE5"/>
    <w:rsid w:val="003B21AC"/>
    <w:rsid w:val="003B31AB"/>
    <w:rsid w:val="003B7120"/>
    <w:rsid w:val="003C07A3"/>
    <w:rsid w:val="003C2E41"/>
    <w:rsid w:val="003C3B6C"/>
    <w:rsid w:val="003E0378"/>
    <w:rsid w:val="003E6550"/>
    <w:rsid w:val="00401222"/>
    <w:rsid w:val="00401F52"/>
    <w:rsid w:val="00404B96"/>
    <w:rsid w:val="00405FF0"/>
    <w:rsid w:val="00410B73"/>
    <w:rsid w:val="004125E2"/>
    <w:rsid w:val="004145E4"/>
    <w:rsid w:val="00415B34"/>
    <w:rsid w:val="00420005"/>
    <w:rsid w:val="00420FBD"/>
    <w:rsid w:val="00423487"/>
    <w:rsid w:val="004252CD"/>
    <w:rsid w:val="004276E9"/>
    <w:rsid w:val="004342E0"/>
    <w:rsid w:val="00437128"/>
    <w:rsid w:val="00441E4E"/>
    <w:rsid w:val="004519B9"/>
    <w:rsid w:val="004547BD"/>
    <w:rsid w:val="00455E08"/>
    <w:rsid w:val="0046751C"/>
    <w:rsid w:val="00477AF7"/>
    <w:rsid w:val="00480532"/>
    <w:rsid w:val="00482CC7"/>
    <w:rsid w:val="00490008"/>
    <w:rsid w:val="004A2F4C"/>
    <w:rsid w:val="004A40EF"/>
    <w:rsid w:val="004A5F3F"/>
    <w:rsid w:val="004B7E68"/>
    <w:rsid w:val="004D047C"/>
    <w:rsid w:val="004D3F1C"/>
    <w:rsid w:val="004D799C"/>
    <w:rsid w:val="004E165A"/>
    <w:rsid w:val="004E5A10"/>
    <w:rsid w:val="004F04AC"/>
    <w:rsid w:val="004F41D2"/>
    <w:rsid w:val="00504653"/>
    <w:rsid w:val="00507B7E"/>
    <w:rsid w:val="00515F07"/>
    <w:rsid w:val="005327A2"/>
    <w:rsid w:val="00540F67"/>
    <w:rsid w:val="00550302"/>
    <w:rsid w:val="00553488"/>
    <w:rsid w:val="0056008A"/>
    <w:rsid w:val="00564AA2"/>
    <w:rsid w:val="00584353"/>
    <w:rsid w:val="0059045F"/>
    <w:rsid w:val="00590701"/>
    <w:rsid w:val="005907C2"/>
    <w:rsid w:val="005915F6"/>
    <w:rsid w:val="005929A3"/>
    <w:rsid w:val="0059460F"/>
    <w:rsid w:val="0059703B"/>
    <w:rsid w:val="005A4F95"/>
    <w:rsid w:val="005B22B6"/>
    <w:rsid w:val="005B5935"/>
    <w:rsid w:val="005B643C"/>
    <w:rsid w:val="005B784D"/>
    <w:rsid w:val="005D2F50"/>
    <w:rsid w:val="005D6258"/>
    <w:rsid w:val="005E4A0E"/>
    <w:rsid w:val="005E5532"/>
    <w:rsid w:val="005E7FF4"/>
    <w:rsid w:val="005F3BF8"/>
    <w:rsid w:val="005F759A"/>
    <w:rsid w:val="00601279"/>
    <w:rsid w:val="006014E9"/>
    <w:rsid w:val="00603AD6"/>
    <w:rsid w:val="006061A7"/>
    <w:rsid w:val="00622CD3"/>
    <w:rsid w:val="00625C88"/>
    <w:rsid w:val="00636C5F"/>
    <w:rsid w:val="00640B72"/>
    <w:rsid w:val="00647614"/>
    <w:rsid w:val="00652614"/>
    <w:rsid w:val="00652DB3"/>
    <w:rsid w:val="00657244"/>
    <w:rsid w:val="00666245"/>
    <w:rsid w:val="006675C4"/>
    <w:rsid w:val="00672EA7"/>
    <w:rsid w:val="00675184"/>
    <w:rsid w:val="00676760"/>
    <w:rsid w:val="006805C4"/>
    <w:rsid w:val="00681A98"/>
    <w:rsid w:val="00690CD8"/>
    <w:rsid w:val="006958AD"/>
    <w:rsid w:val="00695F75"/>
    <w:rsid w:val="006A1C6F"/>
    <w:rsid w:val="006A24D0"/>
    <w:rsid w:val="006A6432"/>
    <w:rsid w:val="006B66E4"/>
    <w:rsid w:val="006B7013"/>
    <w:rsid w:val="006C277D"/>
    <w:rsid w:val="006C2F3A"/>
    <w:rsid w:val="006D146D"/>
    <w:rsid w:val="006D4386"/>
    <w:rsid w:val="006D4C77"/>
    <w:rsid w:val="006E0BDC"/>
    <w:rsid w:val="006F219B"/>
    <w:rsid w:val="006F2870"/>
    <w:rsid w:val="007010F2"/>
    <w:rsid w:val="007029B8"/>
    <w:rsid w:val="007056BC"/>
    <w:rsid w:val="00707436"/>
    <w:rsid w:val="0071093E"/>
    <w:rsid w:val="007112C3"/>
    <w:rsid w:val="0071332F"/>
    <w:rsid w:val="00714314"/>
    <w:rsid w:val="00724C64"/>
    <w:rsid w:val="0073187A"/>
    <w:rsid w:val="00732B50"/>
    <w:rsid w:val="00733665"/>
    <w:rsid w:val="00735A67"/>
    <w:rsid w:val="00736191"/>
    <w:rsid w:val="00737F79"/>
    <w:rsid w:val="007432E4"/>
    <w:rsid w:val="007563F9"/>
    <w:rsid w:val="00757857"/>
    <w:rsid w:val="00760BA0"/>
    <w:rsid w:val="00762DAA"/>
    <w:rsid w:val="00770141"/>
    <w:rsid w:val="00771301"/>
    <w:rsid w:val="007738F9"/>
    <w:rsid w:val="00782666"/>
    <w:rsid w:val="007863FF"/>
    <w:rsid w:val="00793AA1"/>
    <w:rsid w:val="00794550"/>
    <w:rsid w:val="007A2B6A"/>
    <w:rsid w:val="007A79A9"/>
    <w:rsid w:val="007C1564"/>
    <w:rsid w:val="007D23FF"/>
    <w:rsid w:val="007D7B98"/>
    <w:rsid w:val="007E2EB6"/>
    <w:rsid w:val="007F466F"/>
    <w:rsid w:val="007F56F6"/>
    <w:rsid w:val="00800C94"/>
    <w:rsid w:val="00806C6A"/>
    <w:rsid w:val="00812769"/>
    <w:rsid w:val="00822B74"/>
    <w:rsid w:val="00837777"/>
    <w:rsid w:val="00842B12"/>
    <w:rsid w:val="008468ED"/>
    <w:rsid w:val="00846A0A"/>
    <w:rsid w:val="00850CDD"/>
    <w:rsid w:val="00852A8B"/>
    <w:rsid w:val="00860114"/>
    <w:rsid w:val="00862025"/>
    <w:rsid w:val="00872EC1"/>
    <w:rsid w:val="00873B33"/>
    <w:rsid w:val="00874C93"/>
    <w:rsid w:val="008809E2"/>
    <w:rsid w:val="00881B5E"/>
    <w:rsid w:val="0088631E"/>
    <w:rsid w:val="00894C66"/>
    <w:rsid w:val="008A2451"/>
    <w:rsid w:val="008A5FCD"/>
    <w:rsid w:val="008D0F55"/>
    <w:rsid w:val="008D46EF"/>
    <w:rsid w:val="008E1AEF"/>
    <w:rsid w:val="008E4D2E"/>
    <w:rsid w:val="008E67A3"/>
    <w:rsid w:val="008F3105"/>
    <w:rsid w:val="008F40C0"/>
    <w:rsid w:val="00903ED5"/>
    <w:rsid w:val="009064E3"/>
    <w:rsid w:val="00907A19"/>
    <w:rsid w:val="00912251"/>
    <w:rsid w:val="00914452"/>
    <w:rsid w:val="009230C1"/>
    <w:rsid w:val="00934310"/>
    <w:rsid w:val="0093664F"/>
    <w:rsid w:val="00940557"/>
    <w:rsid w:val="0095026E"/>
    <w:rsid w:val="009505E3"/>
    <w:rsid w:val="00957590"/>
    <w:rsid w:val="00957ADE"/>
    <w:rsid w:val="00962593"/>
    <w:rsid w:val="00963645"/>
    <w:rsid w:val="00963AB6"/>
    <w:rsid w:val="00963FDB"/>
    <w:rsid w:val="00964EFE"/>
    <w:rsid w:val="00972259"/>
    <w:rsid w:val="00976539"/>
    <w:rsid w:val="00977418"/>
    <w:rsid w:val="00981147"/>
    <w:rsid w:val="00981D92"/>
    <w:rsid w:val="00986A3F"/>
    <w:rsid w:val="009871A9"/>
    <w:rsid w:val="00990B87"/>
    <w:rsid w:val="00994B36"/>
    <w:rsid w:val="00995F89"/>
    <w:rsid w:val="00997267"/>
    <w:rsid w:val="009972A6"/>
    <w:rsid w:val="009A1483"/>
    <w:rsid w:val="009A3C39"/>
    <w:rsid w:val="009A63B2"/>
    <w:rsid w:val="009A725A"/>
    <w:rsid w:val="009B1217"/>
    <w:rsid w:val="009B3407"/>
    <w:rsid w:val="009B5944"/>
    <w:rsid w:val="009C45D2"/>
    <w:rsid w:val="009C66EC"/>
    <w:rsid w:val="009D1E48"/>
    <w:rsid w:val="009E4F27"/>
    <w:rsid w:val="009E6541"/>
    <w:rsid w:val="009F635F"/>
    <w:rsid w:val="009F79A1"/>
    <w:rsid w:val="00A00171"/>
    <w:rsid w:val="00A00762"/>
    <w:rsid w:val="00A0259B"/>
    <w:rsid w:val="00A03972"/>
    <w:rsid w:val="00A214CB"/>
    <w:rsid w:val="00A2283E"/>
    <w:rsid w:val="00A23AF7"/>
    <w:rsid w:val="00A30054"/>
    <w:rsid w:val="00A40A03"/>
    <w:rsid w:val="00A4577A"/>
    <w:rsid w:val="00A46294"/>
    <w:rsid w:val="00A46C50"/>
    <w:rsid w:val="00A54D9F"/>
    <w:rsid w:val="00A55981"/>
    <w:rsid w:val="00A57140"/>
    <w:rsid w:val="00A61297"/>
    <w:rsid w:val="00A61490"/>
    <w:rsid w:val="00A62216"/>
    <w:rsid w:val="00A63D33"/>
    <w:rsid w:val="00A6758F"/>
    <w:rsid w:val="00A72E72"/>
    <w:rsid w:val="00A7659D"/>
    <w:rsid w:val="00A83AC7"/>
    <w:rsid w:val="00A852A5"/>
    <w:rsid w:val="00A86548"/>
    <w:rsid w:val="00A867D1"/>
    <w:rsid w:val="00A8749F"/>
    <w:rsid w:val="00A9375A"/>
    <w:rsid w:val="00A967DB"/>
    <w:rsid w:val="00A967F9"/>
    <w:rsid w:val="00AA611F"/>
    <w:rsid w:val="00AA74B6"/>
    <w:rsid w:val="00AA7A9F"/>
    <w:rsid w:val="00AB08D1"/>
    <w:rsid w:val="00AB4A2D"/>
    <w:rsid w:val="00AC6390"/>
    <w:rsid w:val="00AD2B4B"/>
    <w:rsid w:val="00AD397D"/>
    <w:rsid w:val="00AF21AB"/>
    <w:rsid w:val="00AF2C40"/>
    <w:rsid w:val="00AF48F9"/>
    <w:rsid w:val="00B01203"/>
    <w:rsid w:val="00B10278"/>
    <w:rsid w:val="00B15040"/>
    <w:rsid w:val="00B231B0"/>
    <w:rsid w:val="00B23CB1"/>
    <w:rsid w:val="00B25826"/>
    <w:rsid w:val="00B35633"/>
    <w:rsid w:val="00B418DF"/>
    <w:rsid w:val="00B41C13"/>
    <w:rsid w:val="00B42996"/>
    <w:rsid w:val="00B42C49"/>
    <w:rsid w:val="00B43801"/>
    <w:rsid w:val="00B50E13"/>
    <w:rsid w:val="00B72EBD"/>
    <w:rsid w:val="00B742B7"/>
    <w:rsid w:val="00B81032"/>
    <w:rsid w:val="00B82BDB"/>
    <w:rsid w:val="00B82E9E"/>
    <w:rsid w:val="00B864D0"/>
    <w:rsid w:val="00B973C7"/>
    <w:rsid w:val="00BA2354"/>
    <w:rsid w:val="00BA29E6"/>
    <w:rsid w:val="00BA616D"/>
    <w:rsid w:val="00BA6B00"/>
    <w:rsid w:val="00BB083F"/>
    <w:rsid w:val="00BB1770"/>
    <w:rsid w:val="00BB6792"/>
    <w:rsid w:val="00BC5203"/>
    <w:rsid w:val="00BC66D5"/>
    <w:rsid w:val="00BC76F0"/>
    <w:rsid w:val="00BD6482"/>
    <w:rsid w:val="00BD67E8"/>
    <w:rsid w:val="00BE00BA"/>
    <w:rsid w:val="00BE38D4"/>
    <w:rsid w:val="00BE6926"/>
    <w:rsid w:val="00BE7097"/>
    <w:rsid w:val="00BE7AA6"/>
    <w:rsid w:val="00BF7280"/>
    <w:rsid w:val="00C05370"/>
    <w:rsid w:val="00C057A1"/>
    <w:rsid w:val="00C06A1C"/>
    <w:rsid w:val="00C10B0C"/>
    <w:rsid w:val="00C12D26"/>
    <w:rsid w:val="00C21831"/>
    <w:rsid w:val="00C26B81"/>
    <w:rsid w:val="00C2752E"/>
    <w:rsid w:val="00C3101E"/>
    <w:rsid w:val="00C3524F"/>
    <w:rsid w:val="00C35929"/>
    <w:rsid w:val="00C35FA9"/>
    <w:rsid w:val="00C37C5E"/>
    <w:rsid w:val="00C40313"/>
    <w:rsid w:val="00C571EB"/>
    <w:rsid w:val="00C57B19"/>
    <w:rsid w:val="00C61021"/>
    <w:rsid w:val="00C66DF0"/>
    <w:rsid w:val="00C67F81"/>
    <w:rsid w:val="00C716AC"/>
    <w:rsid w:val="00C732C3"/>
    <w:rsid w:val="00C767BE"/>
    <w:rsid w:val="00C901E9"/>
    <w:rsid w:val="00CA0E4A"/>
    <w:rsid w:val="00CA2BF1"/>
    <w:rsid w:val="00CA4393"/>
    <w:rsid w:val="00CA64D5"/>
    <w:rsid w:val="00CB3446"/>
    <w:rsid w:val="00CB57F4"/>
    <w:rsid w:val="00CB7B19"/>
    <w:rsid w:val="00CC3C61"/>
    <w:rsid w:val="00CC5F9E"/>
    <w:rsid w:val="00CC67B6"/>
    <w:rsid w:val="00CD084F"/>
    <w:rsid w:val="00CD5D8C"/>
    <w:rsid w:val="00CD75D9"/>
    <w:rsid w:val="00CE40D0"/>
    <w:rsid w:val="00CE5C94"/>
    <w:rsid w:val="00CF50CC"/>
    <w:rsid w:val="00CF6B5E"/>
    <w:rsid w:val="00D0035A"/>
    <w:rsid w:val="00D02375"/>
    <w:rsid w:val="00D027A0"/>
    <w:rsid w:val="00D03C3E"/>
    <w:rsid w:val="00D05BAC"/>
    <w:rsid w:val="00D06039"/>
    <w:rsid w:val="00D10652"/>
    <w:rsid w:val="00D1195E"/>
    <w:rsid w:val="00D27E21"/>
    <w:rsid w:val="00D30371"/>
    <w:rsid w:val="00D45418"/>
    <w:rsid w:val="00D50E2D"/>
    <w:rsid w:val="00D52048"/>
    <w:rsid w:val="00D52255"/>
    <w:rsid w:val="00D52B69"/>
    <w:rsid w:val="00D52C93"/>
    <w:rsid w:val="00D54031"/>
    <w:rsid w:val="00D55666"/>
    <w:rsid w:val="00D576D3"/>
    <w:rsid w:val="00D71210"/>
    <w:rsid w:val="00D7460E"/>
    <w:rsid w:val="00D75714"/>
    <w:rsid w:val="00D76739"/>
    <w:rsid w:val="00D769CA"/>
    <w:rsid w:val="00D76EFB"/>
    <w:rsid w:val="00D853ED"/>
    <w:rsid w:val="00D95649"/>
    <w:rsid w:val="00D96F5A"/>
    <w:rsid w:val="00DA3FB8"/>
    <w:rsid w:val="00DA6459"/>
    <w:rsid w:val="00DA7ABD"/>
    <w:rsid w:val="00DB0F5F"/>
    <w:rsid w:val="00DB3D4F"/>
    <w:rsid w:val="00DB5270"/>
    <w:rsid w:val="00DB53E8"/>
    <w:rsid w:val="00DC28A9"/>
    <w:rsid w:val="00DC4741"/>
    <w:rsid w:val="00DC4E47"/>
    <w:rsid w:val="00DC7601"/>
    <w:rsid w:val="00DD2F9A"/>
    <w:rsid w:val="00DD383F"/>
    <w:rsid w:val="00DE1DB5"/>
    <w:rsid w:val="00DE55E2"/>
    <w:rsid w:val="00DF1B13"/>
    <w:rsid w:val="00DF1F59"/>
    <w:rsid w:val="00DF33F8"/>
    <w:rsid w:val="00DF50D5"/>
    <w:rsid w:val="00DF5753"/>
    <w:rsid w:val="00DF5AB6"/>
    <w:rsid w:val="00DF78D6"/>
    <w:rsid w:val="00E01236"/>
    <w:rsid w:val="00E06427"/>
    <w:rsid w:val="00E0788B"/>
    <w:rsid w:val="00E2039D"/>
    <w:rsid w:val="00E2203F"/>
    <w:rsid w:val="00E24BD7"/>
    <w:rsid w:val="00E2535D"/>
    <w:rsid w:val="00E267BE"/>
    <w:rsid w:val="00E31981"/>
    <w:rsid w:val="00E45BBB"/>
    <w:rsid w:val="00E52E13"/>
    <w:rsid w:val="00E537B6"/>
    <w:rsid w:val="00E55B5D"/>
    <w:rsid w:val="00E565CD"/>
    <w:rsid w:val="00E57C41"/>
    <w:rsid w:val="00E631AF"/>
    <w:rsid w:val="00E743BB"/>
    <w:rsid w:val="00E74864"/>
    <w:rsid w:val="00EB1E33"/>
    <w:rsid w:val="00EB1FDF"/>
    <w:rsid w:val="00EB2CBA"/>
    <w:rsid w:val="00EC14CF"/>
    <w:rsid w:val="00EC7DA0"/>
    <w:rsid w:val="00ED096C"/>
    <w:rsid w:val="00ED1EFC"/>
    <w:rsid w:val="00ED480C"/>
    <w:rsid w:val="00ED4F3F"/>
    <w:rsid w:val="00ED57B1"/>
    <w:rsid w:val="00ED61C4"/>
    <w:rsid w:val="00EE4B56"/>
    <w:rsid w:val="00EF1FEF"/>
    <w:rsid w:val="00EF44A9"/>
    <w:rsid w:val="00F07B20"/>
    <w:rsid w:val="00F1122C"/>
    <w:rsid w:val="00F17022"/>
    <w:rsid w:val="00F20F2A"/>
    <w:rsid w:val="00F2134C"/>
    <w:rsid w:val="00F31597"/>
    <w:rsid w:val="00F33FD7"/>
    <w:rsid w:val="00F4181D"/>
    <w:rsid w:val="00F455E4"/>
    <w:rsid w:val="00F46F1D"/>
    <w:rsid w:val="00F62BEC"/>
    <w:rsid w:val="00F65939"/>
    <w:rsid w:val="00F705E8"/>
    <w:rsid w:val="00F80D34"/>
    <w:rsid w:val="00F81FE3"/>
    <w:rsid w:val="00F84AE4"/>
    <w:rsid w:val="00F85B1D"/>
    <w:rsid w:val="00F869A8"/>
    <w:rsid w:val="00F91250"/>
    <w:rsid w:val="00F91585"/>
    <w:rsid w:val="00F91663"/>
    <w:rsid w:val="00F93AB0"/>
    <w:rsid w:val="00F97EDD"/>
    <w:rsid w:val="00FA734E"/>
    <w:rsid w:val="00FB476C"/>
    <w:rsid w:val="00FC4D28"/>
    <w:rsid w:val="00FC4E9F"/>
    <w:rsid w:val="00FD0F8F"/>
    <w:rsid w:val="00FD4D67"/>
    <w:rsid w:val="00FD7899"/>
    <w:rsid w:val="00FE5716"/>
    <w:rsid w:val="00FF0131"/>
    <w:rsid w:val="00FF05FE"/>
    <w:rsid w:val="00FF07DC"/>
    <w:rsid w:val="00FF26DA"/>
    <w:rsid w:val="00FF3D41"/>
    <w:rsid w:val="00FF3FF2"/>
    <w:rsid w:val="00FF5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329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F1D"/>
  </w:style>
  <w:style w:type="paragraph" w:styleId="Heading1">
    <w:name w:val="heading 1"/>
    <w:basedOn w:val="Normal"/>
    <w:next w:val="Normal"/>
    <w:link w:val="Heading1Char"/>
    <w:uiPriority w:val="9"/>
    <w:qFormat/>
    <w:rsid w:val="00455E0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5403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next w:val="Normal"/>
    <w:link w:val="Heading3Char"/>
    <w:uiPriority w:val="9"/>
    <w:unhideWhenUsed/>
    <w:qFormat/>
    <w:rsid w:val="00D54031"/>
    <w:pPr>
      <w:keepNext/>
      <w:keepLines/>
      <w:spacing w:after="156" w:line="269" w:lineRule="auto"/>
      <w:ind w:left="845" w:hanging="860"/>
      <w:outlineLvl w:val="2"/>
    </w:pPr>
    <w:rPr>
      <w:rFonts w:ascii="Arial" w:eastAsia="Arial" w:hAnsi="Arial" w:cs="Arial"/>
      <w:b/>
      <w:i/>
      <w:color w:val="000000"/>
      <w:sz w:val="24"/>
    </w:rPr>
  </w:style>
  <w:style w:type="paragraph" w:styleId="Heading4">
    <w:name w:val="heading 4"/>
    <w:next w:val="Normal"/>
    <w:link w:val="Heading4Char"/>
    <w:uiPriority w:val="9"/>
    <w:unhideWhenUsed/>
    <w:qFormat/>
    <w:rsid w:val="00D54031"/>
    <w:pPr>
      <w:keepNext/>
      <w:keepLines/>
      <w:spacing w:after="156" w:line="269" w:lineRule="auto"/>
      <w:ind w:left="-5" w:hanging="10"/>
      <w:jc w:val="both"/>
      <w:outlineLvl w:val="3"/>
    </w:pPr>
    <w:rPr>
      <w:rFonts w:ascii="Arial" w:eastAsia="Arial" w:hAnsi="Arial" w:cs="Arial"/>
      <w:b/>
      <w:color w:val="000000"/>
      <w:sz w:val="24"/>
    </w:rPr>
  </w:style>
  <w:style w:type="paragraph" w:styleId="Heading5">
    <w:name w:val="heading 5"/>
    <w:next w:val="Normal"/>
    <w:link w:val="Heading5Char"/>
    <w:uiPriority w:val="9"/>
    <w:unhideWhenUsed/>
    <w:qFormat/>
    <w:rsid w:val="00D54031"/>
    <w:pPr>
      <w:keepNext/>
      <w:keepLines/>
      <w:spacing w:after="156" w:line="269" w:lineRule="auto"/>
      <w:ind w:left="845" w:hanging="860"/>
      <w:outlineLvl w:val="4"/>
    </w:pPr>
    <w:rPr>
      <w:rFonts w:ascii="Arial" w:eastAsia="Arial" w:hAnsi="Arial" w:cs="Arial"/>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60C6D"/>
    <w:rPr>
      <w:rFonts w:cs="Times New Roman"/>
      <w:vertAlign w:val="superscript"/>
    </w:rPr>
  </w:style>
  <w:style w:type="paragraph" w:styleId="NormalWeb">
    <w:name w:val="Normal (Web)"/>
    <w:basedOn w:val="Normal"/>
    <w:uiPriority w:val="99"/>
    <w:rsid w:val="00160C6D"/>
    <w:pPr>
      <w:suppressAutoHyphens/>
      <w:spacing w:before="100" w:after="100" w:line="240" w:lineRule="auto"/>
    </w:pPr>
    <w:rPr>
      <w:rFonts w:ascii="Times New Roman" w:eastAsia="Times New Roman" w:hAnsi="Times New Roman" w:cs="Times New Roman"/>
      <w:sz w:val="24"/>
      <w:szCs w:val="24"/>
      <w:lang w:eastAsia="ar-SA"/>
    </w:rPr>
  </w:style>
  <w:style w:type="paragraph" w:styleId="FootnoteText">
    <w:name w:val="footnote text"/>
    <w:basedOn w:val="Normal"/>
    <w:link w:val="FootnoteTextChar"/>
    <w:semiHidden/>
    <w:rsid w:val="00160C6D"/>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semiHidden/>
    <w:rsid w:val="00160C6D"/>
    <w:rPr>
      <w:rFonts w:ascii="Times New Roman" w:eastAsia="Times New Roman" w:hAnsi="Times New Roman" w:cs="Times New Roman"/>
      <w:sz w:val="20"/>
      <w:szCs w:val="20"/>
      <w:lang w:val="sq-AL" w:eastAsia="ar-SA"/>
    </w:rPr>
  </w:style>
  <w:style w:type="character" w:customStyle="1" w:styleId="italic1">
    <w:name w:val="italic1"/>
    <w:rsid w:val="00160C6D"/>
    <w:rPr>
      <w:rFonts w:cs="Times New Roman"/>
      <w:i/>
      <w:iCs/>
    </w:rPr>
  </w:style>
  <w:style w:type="character" w:customStyle="1" w:styleId="Smbolodenotaalpie">
    <w:name w:val="Símbolo de nota al pie"/>
    <w:rsid w:val="00160C6D"/>
    <w:rPr>
      <w:rFonts w:cs="Times New Roman"/>
      <w:vertAlign w:val="superscript"/>
    </w:rPr>
  </w:style>
  <w:style w:type="paragraph" w:customStyle="1" w:styleId="ti-grseq-1">
    <w:name w:val="ti-grseq-1"/>
    <w:basedOn w:val="Normal"/>
    <w:rsid w:val="00995F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995F89"/>
  </w:style>
  <w:style w:type="character" w:customStyle="1" w:styleId="WW8Num4z1">
    <w:name w:val="WW8Num4z1"/>
    <w:rsid w:val="00F91663"/>
    <w:rPr>
      <w:rFonts w:ascii="Symbol" w:hAnsi="Symbol"/>
    </w:rPr>
  </w:style>
  <w:style w:type="character" w:customStyle="1" w:styleId="italic">
    <w:name w:val="italic"/>
    <w:basedOn w:val="DefaultParagraphFont"/>
    <w:rsid w:val="005E4A0E"/>
  </w:style>
  <w:style w:type="paragraph" w:customStyle="1" w:styleId="1">
    <w:name w:val="Βασικό1"/>
    <w:basedOn w:val="Normal"/>
    <w:rsid w:val="005E4A0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7713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bl">
    <w:name w:val="ti-tbl"/>
    <w:basedOn w:val="Normal"/>
    <w:rsid w:val="007713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4">
    <w:name w:val="CM4"/>
    <w:basedOn w:val="Normal"/>
    <w:next w:val="Normal"/>
    <w:rsid w:val="00A7659D"/>
    <w:pPr>
      <w:autoSpaceDE w:val="0"/>
      <w:autoSpaceDN w:val="0"/>
      <w:adjustRightInd w:val="0"/>
      <w:spacing w:after="0" w:line="240" w:lineRule="auto"/>
    </w:pPr>
    <w:rPr>
      <w:rFonts w:ascii="EUAlbertina" w:eastAsia="Times New Roman" w:hAnsi="EUAlbertina" w:cs="Times New Roman"/>
      <w:sz w:val="24"/>
      <w:szCs w:val="24"/>
      <w:lang w:eastAsia="el-GR"/>
    </w:rPr>
  </w:style>
  <w:style w:type="character" w:customStyle="1" w:styleId="Heading1Char">
    <w:name w:val="Heading 1 Char"/>
    <w:basedOn w:val="DefaultParagraphFont"/>
    <w:link w:val="Heading1"/>
    <w:rsid w:val="00455E08"/>
    <w:rPr>
      <w:rFonts w:asciiTheme="majorHAnsi" w:eastAsiaTheme="majorEastAsia" w:hAnsiTheme="majorHAnsi" w:cstheme="majorBidi"/>
      <w:color w:val="2F5496" w:themeColor="accent1" w:themeShade="BF"/>
      <w:sz w:val="32"/>
      <w:szCs w:val="32"/>
    </w:rPr>
  </w:style>
  <w:style w:type="character" w:customStyle="1" w:styleId="ListParagraphChar">
    <w:name w:val="List Paragraph Char"/>
    <w:aliases w:val="List Paragraph (numbered (a)) Char"/>
    <w:link w:val="ListParagraph"/>
    <w:uiPriority w:val="34"/>
    <w:qFormat/>
    <w:locked/>
    <w:rsid w:val="003B7120"/>
    <w:rPr>
      <w:rFonts w:ascii="Arial" w:eastAsia="Times New Roman" w:hAnsi="Arial" w:cs="Times New Roman"/>
      <w:szCs w:val="21"/>
      <w:lang w:val="sq-AL" w:eastAsia="de-DE"/>
    </w:rPr>
  </w:style>
  <w:style w:type="paragraph" w:styleId="ListParagraph">
    <w:name w:val="List Paragraph"/>
    <w:aliases w:val="List Paragraph (numbered (a))"/>
    <w:basedOn w:val="Normal"/>
    <w:link w:val="ListParagraphChar"/>
    <w:uiPriority w:val="34"/>
    <w:qFormat/>
    <w:rsid w:val="003B7120"/>
    <w:pPr>
      <w:overflowPunct w:val="0"/>
      <w:autoSpaceDE w:val="0"/>
      <w:autoSpaceDN w:val="0"/>
      <w:adjustRightInd w:val="0"/>
      <w:spacing w:after="120" w:line="240" w:lineRule="auto"/>
      <w:ind w:left="284" w:hanging="284"/>
      <w:contextualSpacing/>
      <w:jc w:val="both"/>
    </w:pPr>
    <w:rPr>
      <w:rFonts w:ascii="Arial" w:eastAsia="Times New Roman" w:hAnsi="Arial" w:cs="Times New Roman"/>
      <w:szCs w:val="21"/>
      <w:lang w:eastAsia="de-DE"/>
    </w:rPr>
  </w:style>
  <w:style w:type="paragraph" w:customStyle="1" w:styleId="Default">
    <w:name w:val="Default"/>
    <w:rsid w:val="003B7120"/>
    <w:pPr>
      <w:autoSpaceDE w:val="0"/>
      <w:autoSpaceDN w:val="0"/>
      <w:adjustRightInd w:val="0"/>
      <w:spacing w:after="0" w:line="240" w:lineRule="auto"/>
    </w:pPr>
    <w:rPr>
      <w:rFonts w:ascii="Arial" w:eastAsia="Times New Roman" w:hAnsi="Arial" w:cs="Symbol"/>
      <w:color w:val="000000"/>
      <w:sz w:val="24"/>
      <w:szCs w:val="24"/>
      <w:lang w:eastAsia="de-DE"/>
    </w:rPr>
  </w:style>
  <w:style w:type="table" w:customStyle="1" w:styleId="Tabelraster1">
    <w:name w:val="Tabelraster1"/>
    <w:basedOn w:val="TableNormal"/>
    <w:uiPriority w:val="39"/>
    <w:rsid w:val="003B71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1">
    <w:name w:val="Text 1"/>
    <w:basedOn w:val="Normal"/>
    <w:rsid w:val="00181E9D"/>
    <w:pPr>
      <w:spacing w:before="120" w:after="120" w:line="240" w:lineRule="auto"/>
      <w:ind w:left="850"/>
      <w:jc w:val="both"/>
    </w:pPr>
    <w:rPr>
      <w:rFonts w:ascii="Times New Roman" w:eastAsia="Times New Roman" w:hAnsi="Times New Roman" w:cs="Times New Roman"/>
      <w:sz w:val="24"/>
      <w:szCs w:val="24"/>
      <w:lang w:eastAsia="de-DE"/>
    </w:rPr>
  </w:style>
  <w:style w:type="character" w:customStyle="1" w:styleId="Heading2Char">
    <w:name w:val="Heading 2 Char"/>
    <w:basedOn w:val="DefaultParagraphFont"/>
    <w:link w:val="Heading2"/>
    <w:rsid w:val="00D5403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54031"/>
    <w:rPr>
      <w:rFonts w:ascii="Arial" w:eastAsia="Arial" w:hAnsi="Arial" w:cs="Arial"/>
      <w:b/>
      <w:i/>
      <w:color w:val="000000"/>
      <w:sz w:val="24"/>
    </w:rPr>
  </w:style>
  <w:style w:type="character" w:customStyle="1" w:styleId="Heading4Char">
    <w:name w:val="Heading 4 Char"/>
    <w:basedOn w:val="DefaultParagraphFont"/>
    <w:link w:val="Heading4"/>
    <w:uiPriority w:val="9"/>
    <w:rsid w:val="00D54031"/>
    <w:rPr>
      <w:rFonts w:ascii="Arial" w:eastAsia="Arial" w:hAnsi="Arial" w:cs="Arial"/>
      <w:b/>
      <w:color w:val="000000"/>
      <w:sz w:val="24"/>
    </w:rPr>
  </w:style>
  <w:style w:type="character" w:customStyle="1" w:styleId="Heading5Char">
    <w:name w:val="Heading 5 Char"/>
    <w:basedOn w:val="DefaultParagraphFont"/>
    <w:link w:val="Heading5"/>
    <w:uiPriority w:val="9"/>
    <w:rsid w:val="00D54031"/>
    <w:rPr>
      <w:rFonts w:ascii="Arial" w:eastAsia="Arial" w:hAnsi="Arial" w:cs="Arial"/>
      <w:b/>
      <w:i/>
      <w:color w:val="000000"/>
      <w:sz w:val="24"/>
    </w:rPr>
  </w:style>
  <w:style w:type="paragraph" w:customStyle="1" w:styleId="footnotedescription">
    <w:name w:val="footnote description"/>
    <w:next w:val="Normal"/>
    <w:link w:val="footnotedescriptionChar"/>
    <w:hidden/>
    <w:rsid w:val="00D54031"/>
    <w:pPr>
      <w:spacing w:after="0" w:line="216" w:lineRule="auto"/>
      <w:ind w:left="720" w:hanging="720"/>
      <w:jc w:val="both"/>
    </w:pPr>
    <w:rPr>
      <w:rFonts w:ascii="Arial" w:eastAsia="Arial" w:hAnsi="Arial" w:cs="Arial"/>
      <w:color w:val="000000"/>
      <w:sz w:val="16"/>
    </w:rPr>
  </w:style>
  <w:style w:type="character" w:customStyle="1" w:styleId="footnotedescriptionChar">
    <w:name w:val="footnote description Char"/>
    <w:link w:val="footnotedescription"/>
    <w:rsid w:val="00D54031"/>
    <w:rPr>
      <w:rFonts w:ascii="Arial" w:eastAsia="Arial" w:hAnsi="Arial" w:cs="Arial"/>
      <w:color w:val="000000"/>
      <w:sz w:val="16"/>
    </w:rPr>
  </w:style>
  <w:style w:type="character" w:customStyle="1" w:styleId="footnotemark">
    <w:name w:val="footnote mark"/>
    <w:hidden/>
    <w:rsid w:val="00D54031"/>
    <w:rPr>
      <w:rFonts w:ascii="Arial" w:eastAsia="Arial" w:hAnsi="Arial" w:cs="Arial"/>
      <w:color w:val="000000"/>
      <w:sz w:val="16"/>
      <w:vertAlign w:val="superscript"/>
    </w:rPr>
  </w:style>
  <w:style w:type="table" w:customStyle="1" w:styleId="TableGrid0">
    <w:name w:val="TableGrid"/>
    <w:rsid w:val="00D54031"/>
    <w:pPr>
      <w:spacing w:after="0" w:line="240" w:lineRule="auto"/>
    </w:pPr>
    <w:rPr>
      <w:rFonts w:eastAsiaTheme="minorEastAsia"/>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D54031"/>
    <w:rPr>
      <w:sz w:val="16"/>
      <w:szCs w:val="16"/>
    </w:rPr>
  </w:style>
  <w:style w:type="paragraph" w:styleId="CommentText">
    <w:name w:val="annotation text"/>
    <w:basedOn w:val="Normal"/>
    <w:link w:val="CommentTextChar"/>
    <w:uiPriority w:val="99"/>
    <w:semiHidden/>
    <w:unhideWhenUsed/>
    <w:rsid w:val="00D54031"/>
    <w:pPr>
      <w:spacing w:after="158" w:line="240" w:lineRule="auto"/>
      <w:ind w:left="705" w:right="11" w:firstLine="1"/>
      <w:jc w:val="both"/>
    </w:pPr>
    <w:rPr>
      <w:rFonts w:ascii="Arial" w:eastAsia="Arial" w:hAnsi="Arial" w:cs="Arial"/>
      <w:color w:val="000000"/>
      <w:sz w:val="20"/>
      <w:szCs w:val="20"/>
    </w:rPr>
  </w:style>
  <w:style w:type="character" w:customStyle="1" w:styleId="CommentTextChar">
    <w:name w:val="Comment Text Char"/>
    <w:basedOn w:val="DefaultParagraphFont"/>
    <w:link w:val="CommentText"/>
    <w:uiPriority w:val="99"/>
    <w:semiHidden/>
    <w:rsid w:val="00D54031"/>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D54031"/>
    <w:rPr>
      <w:b/>
      <w:bCs/>
    </w:rPr>
  </w:style>
  <w:style w:type="character" w:customStyle="1" w:styleId="CommentSubjectChar">
    <w:name w:val="Comment Subject Char"/>
    <w:basedOn w:val="CommentTextChar"/>
    <w:link w:val="CommentSubject"/>
    <w:uiPriority w:val="99"/>
    <w:semiHidden/>
    <w:rsid w:val="00D54031"/>
    <w:rPr>
      <w:rFonts w:ascii="Arial" w:eastAsia="Arial" w:hAnsi="Arial" w:cs="Arial"/>
      <w:b/>
      <w:bCs/>
      <w:color w:val="000000"/>
      <w:sz w:val="20"/>
      <w:szCs w:val="20"/>
    </w:rPr>
  </w:style>
  <w:style w:type="paragraph" w:styleId="Revision">
    <w:name w:val="Revision"/>
    <w:hidden/>
    <w:uiPriority w:val="99"/>
    <w:semiHidden/>
    <w:rsid w:val="00D54031"/>
    <w:pPr>
      <w:spacing w:after="0" w:line="240" w:lineRule="auto"/>
    </w:pPr>
    <w:rPr>
      <w:rFonts w:ascii="Arial" w:eastAsia="Arial" w:hAnsi="Arial" w:cs="Arial"/>
      <w:color w:val="000000"/>
    </w:rPr>
  </w:style>
  <w:style w:type="paragraph" w:styleId="BalloonText">
    <w:name w:val="Balloon Text"/>
    <w:basedOn w:val="Normal"/>
    <w:link w:val="BalloonTextChar"/>
    <w:uiPriority w:val="99"/>
    <w:semiHidden/>
    <w:unhideWhenUsed/>
    <w:rsid w:val="00D54031"/>
    <w:pPr>
      <w:spacing w:after="0" w:line="240" w:lineRule="auto"/>
      <w:ind w:left="705" w:right="11" w:firstLine="1"/>
      <w:jc w:val="both"/>
    </w:pPr>
    <w:rPr>
      <w:rFonts w:ascii="Segoe UI" w:eastAsia="Arial" w:hAnsi="Segoe UI" w:cs="Segoe UI"/>
      <w:color w:val="000000"/>
      <w:sz w:val="18"/>
      <w:szCs w:val="18"/>
    </w:rPr>
  </w:style>
  <w:style w:type="character" w:customStyle="1" w:styleId="BalloonTextChar">
    <w:name w:val="Balloon Text Char"/>
    <w:basedOn w:val="DefaultParagraphFont"/>
    <w:link w:val="BalloonText"/>
    <w:uiPriority w:val="99"/>
    <w:semiHidden/>
    <w:rsid w:val="00D54031"/>
    <w:rPr>
      <w:rFonts w:ascii="Segoe UI" w:eastAsia="Arial" w:hAnsi="Segoe UI" w:cs="Segoe UI"/>
      <w:color w:val="000000"/>
      <w:sz w:val="18"/>
      <w:szCs w:val="18"/>
    </w:rPr>
  </w:style>
  <w:style w:type="paragraph" w:styleId="Header">
    <w:name w:val="header"/>
    <w:basedOn w:val="Normal"/>
    <w:link w:val="HeaderChar"/>
    <w:uiPriority w:val="99"/>
    <w:unhideWhenUsed/>
    <w:rsid w:val="006958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8AD"/>
  </w:style>
  <w:style w:type="paragraph" w:styleId="Footer">
    <w:name w:val="footer"/>
    <w:basedOn w:val="Normal"/>
    <w:link w:val="FooterChar"/>
    <w:uiPriority w:val="99"/>
    <w:unhideWhenUsed/>
    <w:rsid w:val="006958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8AD"/>
  </w:style>
  <w:style w:type="character" w:styleId="Hyperlink">
    <w:name w:val="Hyperlink"/>
    <w:basedOn w:val="DefaultParagraphFont"/>
    <w:uiPriority w:val="99"/>
    <w:unhideWhenUsed/>
    <w:rsid w:val="00907A19"/>
    <w:rPr>
      <w:color w:val="0563C1" w:themeColor="hyperlink"/>
      <w:u w:val="single"/>
    </w:rPr>
  </w:style>
  <w:style w:type="paragraph" w:styleId="TOCHeading">
    <w:name w:val="TOC Heading"/>
    <w:basedOn w:val="Heading1"/>
    <w:next w:val="Normal"/>
    <w:uiPriority w:val="39"/>
    <w:unhideWhenUsed/>
    <w:qFormat/>
    <w:rsid w:val="00477AF7"/>
    <w:pPr>
      <w:outlineLvl w:val="9"/>
    </w:pPr>
    <w:rPr>
      <w:lang w:eastAsia="nl-NL"/>
    </w:rPr>
  </w:style>
  <w:style w:type="paragraph" w:styleId="TOC1">
    <w:name w:val="toc 1"/>
    <w:basedOn w:val="Normal"/>
    <w:next w:val="Normal"/>
    <w:autoRedefine/>
    <w:uiPriority w:val="39"/>
    <w:unhideWhenUsed/>
    <w:rsid w:val="00477AF7"/>
    <w:pPr>
      <w:spacing w:after="100" w:line="240" w:lineRule="auto"/>
    </w:pPr>
    <w:rPr>
      <w:rFonts w:ascii="Times New Roman" w:eastAsia="Times New Roman" w:hAnsi="Times New Roman" w:cs="Times New Roman"/>
      <w:sz w:val="24"/>
      <w:szCs w:val="24"/>
      <w:lang w:eastAsia="en-GB"/>
    </w:rPr>
  </w:style>
  <w:style w:type="paragraph" w:styleId="TOC2">
    <w:name w:val="toc 2"/>
    <w:basedOn w:val="Normal"/>
    <w:next w:val="Normal"/>
    <w:autoRedefine/>
    <w:uiPriority w:val="39"/>
    <w:unhideWhenUsed/>
    <w:rsid w:val="006B66E4"/>
    <w:pPr>
      <w:tabs>
        <w:tab w:val="right" w:leader="dot" w:pos="9350"/>
      </w:tabs>
      <w:spacing w:after="100" w:line="240" w:lineRule="auto"/>
      <w:ind w:left="240"/>
    </w:pPr>
    <w:rPr>
      <w:rFonts w:ascii="Times New Roman" w:eastAsia="Times New Roman" w:hAnsi="Times New Roman" w:cs="Times New Roman"/>
      <w:sz w:val="24"/>
      <w:szCs w:val="24"/>
      <w:lang w:eastAsia="en-GB"/>
    </w:rPr>
  </w:style>
  <w:style w:type="character" w:styleId="IntenseReference">
    <w:name w:val="Intense Reference"/>
    <w:basedOn w:val="DefaultParagraphFont"/>
    <w:uiPriority w:val="32"/>
    <w:qFormat/>
    <w:rsid w:val="00477AF7"/>
    <w:rPr>
      <w:b/>
      <w:bCs/>
      <w:smallCaps/>
      <w:color w:val="4472C4" w:themeColor="accent1"/>
      <w:spacing w:val="5"/>
    </w:rPr>
  </w:style>
  <w:style w:type="character" w:styleId="Strong">
    <w:name w:val="Strong"/>
    <w:basedOn w:val="DefaultParagraphFont"/>
    <w:uiPriority w:val="22"/>
    <w:qFormat/>
    <w:rsid w:val="00477AF7"/>
    <w:rPr>
      <w:b/>
      <w:bCs/>
    </w:rPr>
  </w:style>
  <w:style w:type="paragraph" w:styleId="Title">
    <w:name w:val="Title"/>
    <w:basedOn w:val="Normal"/>
    <w:next w:val="Normal"/>
    <w:link w:val="TitleChar"/>
    <w:uiPriority w:val="10"/>
    <w:qFormat/>
    <w:rsid w:val="00477A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7AF7"/>
    <w:rPr>
      <w:rFonts w:asciiTheme="majorHAnsi" w:eastAsiaTheme="majorEastAsia" w:hAnsiTheme="majorHAnsi" w:cstheme="majorBidi"/>
      <w:spacing w:val="-10"/>
      <w:kern w:val="28"/>
      <w:sz w:val="56"/>
      <w:szCs w:val="56"/>
    </w:rPr>
  </w:style>
  <w:style w:type="paragraph" w:styleId="TableofFigures">
    <w:name w:val="table of figures"/>
    <w:basedOn w:val="Normal"/>
    <w:next w:val="Normal"/>
    <w:uiPriority w:val="99"/>
    <w:unhideWhenUsed/>
    <w:rsid w:val="00B43801"/>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F1D"/>
  </w:style>
  <w:style w:type="paragraph" w:styleId="Heading1">
    <w:name w:val="heading 1"/>
    <w:basedOn w:val="Normal"/>
    <w:next w:val="Normal"/>
    <w:link w:val="Heading1Char"/>
    <w:uiPriority w:val="9"/>
    <w:qFormat/>
    <w:rsid w:val="00455E0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5403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next w:val="Normal"/>
    <w:link w:val="Heading3Char"/>
    <w:uiPriority w:val="9"/>
    <w:unhideWhenUsed/>
    <w:qFormat/>
    <w:rsid w:val="00D54031"/>
    <w:pPr>
      <w:keepNext/>
      <w:keepLines/>
      <w:spacing w:after="156" w:line="269" w:lineRule="auto"/>
      <w:ind w:left="845" w:hanging="860"/>
      <w:outlineLvl w:val="2"/>
    </w:pPr>
    <w:rPr>
      <w:rFonts w:ascii="Arial" w:eastAsia="Arial" w:hAnsi="Arial" w:cs="Arial"/>
      <w:b/>
      <w:i/>
      <w:color w:val="000000"/>
      <w:sz w:val="24"/>
    </w:rPr>
  </w:style>
  <w:style w:type="paragraph" w:styleId="Heading4">
    <w:name w:val="heading 4"/>
    <w:next w:val="Normal"/>
    <w:link w:val="Heading4Char"/>
    <w:uiPriority w:val="9"/>
    <w:unhideWhenUsed/>
    <w:qFormat/>
    <w:rsid w:val="00D54031"/>
    <w:pPr>
      <w:keepNext/>
      <w:keepLines/>
      <w:spacing w:after="156" w:line="269" w:lineRule="auto"/>
      <w:ind w:left="-5" w:hanging="10"/>
      <w:jc w:val="both"/>
      <w:outlineLvl w:val="3"/>
    </w:pPr>
    <w:rPr>
      <w:rFonts w:ascii="Arial" w:eastAsia="Arial" w:hAnsi="Arial" w:cs="Arial"/>
      <w:b/>
      <w:color w:val="000000"/>
      <w:sz w:val="24"/>
    </w:rPr>
  </w:style>
  <w:style w:type="paragraph" w:styleId="Heading5">
    <w:name w:val="heading 5"/>
    <w:next w:val="Normal"/>
    <w:link w:val="Heading5Char"/>
    <w:uiPriority w:val="9"/>
    <w:unhideWhenUsed/>
    <w:qFormat/>
    <w:rsid w:val="00D54031"/>
    <w:pPr>
      <w:keepNext/>
      <w:keepLines/>
      <w:spacing w:after="156" w:line="269" w:lineRule="auto"/>
      <w:ind w:left="845" w:hanging="860"/>
      <w:outlineLvl w:val="4"/>
    </w:pPr>
    <w:rPr>
      <w:rFonts w:ascii="Arial" w:eastAsia="Arial" w:hAnsi="Arial" w:cs="Arial"/>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60C6D"/>
    <w:rPr>
      <w:rFonts w:cs="Times New Roman"/>
      <w:vertAlign w:val="superscript"/>
    </w:rPr>
  </w:style>
  <w:style w:type="paragraph" w:styleId="NormalWeb">
    <w:name w:val="Normal (Web)"/>
    <w:basedOn w:val="Normal"/>
    <w:uiPriority w:val="99"/>
    <w:rsid w:val="00160C6D"/>
    <w:pPr>
      <w:suppressAutoHyphens/>
      <w:spacing w:before="100" w:after="100" w:line="240" w:lineRule="auto"/>
    </w:pPr>
    <w:rPr>
      <w:rFonts w:ascii="Times New Roman" w:eastAsia="Times New Roman" w:hAnsi="Times New Roman" w:cs="Times New Roman"/>
      <w:sz w:val="24"/>
      <w:szCs w:val="24"/>
      <w:lang w:eastAsia="ar-SA"/>
    </w:rPr>
  </w:style>
  <w:style w:type="paragraph" w:styleId="FootnoteText">
    <w:name w:val="footnote text"/>
    <w:basedOn w:val="Normal"/>
    <w:link w:val="FootnoteTextChar"/>
    <w:semiHidden/>
    <w:rsid w:val="00160C6D"/>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semiHidden/>
    <w:rsid w:val="00160C6D"/>
    <w:rPr>
      <w:rFonts w:ascii="Times New Roman" w:eastAsia="Times New Roman" w:hAnsi="Times New Roman" w:cs="Times New Roman"/>
      <w:sz w:val="20"/>
      <w:szCs w:val="20"/>
      <w:lang w:val="sq-AL" w:eastAsia="ar-SA"/>
    </w:rPr>
  </w:style>
  <w:style w:type="character" w:customStyle="1" w:styleId="italic1">
    <w:name w:val="italic1"/>
    <w:rsid w:val="00160C6D"/>
    <w:rPr>
      <w:rFonts w:cs="Times New Roman"/>
      <w:i/>
      <w:iCs/>
    </w:rPr>
  </w:style>
  <w:style w:type="character" w:customStyle="1" w:styleId="Smbolodenotaalpie">
    <w:name w:val="Símbolo de nota al pie"/>
    <w:rsid w:val="00160C6D"/>
    <w:rPr>
      <w:rFonts w:cs="Times New Roman"/>
      <w:vertAlign w:val="superscript"/>
    </w:rPr>
  </w:style>
  <w:style w:type="paragraph" w:customStyle="1" w:styleId="ti-grseq-1">
    <w:name w:val="ti-grseq-1"/>
    <w:basedOn w:val="Normal"/>
    <w:rsid w:val="00995F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995F89"/>
  </w:style>
  <w:style w:type="character" w:customStyle="1" w:styleId="WW8Num4z1">
    <w:name w:val="WW8Num4z1"/>
    <w:rsid w:val="00F91663"/>
    <w:rPr>
      <w:rFonts w:ascii="Symbol" w:hAnsi="Symbol"/>
    </w:rPr>
  </w:style>
  <w:style w:type="character" w:customStyle="1" w:styleId="italic">
    <w:name w:val="italic"/>
    <w:basedOn w:val="DefaultParagraphFont"/>
    <w:rsid w:val="005E4A0E"/>
  </w:style>
  <w:style w:type="paragraph" w:customStyle="1" w:styleId="1">
    <w:name w:val="Βασικό1"/>
    <w:basedOn w:val="Normal"/>
    <w:rsid w:val="005E4A0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7713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bl">
    <w:name w:val="ti-tbl"/>
    <w:basedOn w:val="Normal"/>
    <w:rsid w:val="007713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4">
    <w:name w:val="CM4"/>
    <w:basedOn w:val="Normal"/>
    <w:next w:val="Normal"/>
    <w:rsid w:val="00A7659D"/>
    <w:pPr>
      <w:autoSpaceDE w:val="0"/>
      <w:autoSpaceDN w:val="0"/>
      <w:adjustRightInd w:val="0"/>
      <w:spacing w:after="0" w:line="240" w:lineRule="auto"/>
    </w:pPr>
    <w:rPr>
      <w:rFonts w:ascii="EUAlbertina" w:eastAsia="Times New Roman" w:hAnsi="EUAlbertina" w:cs="Times New Roman"/>
      <w:sz w:val="24"/>
      <w:szCs w:val="24"/>
      <w:lang w:eastAsia="el-GR"/>
    </w:rPr>
  </w:style>
  <w:style w:type="character" w:customStyle="1" w:styleId="Heading1Char">
    <w:name w:val="Heading 1 Char"/>
    <w:basedOn w:val="DefaultParagraphFont"/>
    <w:link w:val="Heading1"/>
    <w:rsid w:val="00455E08"/>
    <w:rPr>
      <w:rFonts w:asciiTheme="majorHAnsi" w:eastAsiaTheme="majorEastAsia" w:hAnsiTheme="majorHAnsi" w:cstheme="majorBidi"/>
      <w:color w:val="2F5496" w:themeColor="accent1" w:themeShade="BF"/>
      <w:sz w:val="32"/>
      <w:szCs w:val="32"/>
    </w:rPr>
  </w:style>
  <w:style w:type="character" w:customStyle="1" w:styleId="ListParagraphChar">
    <w:name w:val="List Paragraph Char"/>
    <w:aliases w:val="List Paragraph (numbered (a)) Char"/>
    <w:link w:val="ListParagraph"/>
    <w:uiPriority w:val="34"/>
    <w:qFormat/>
    <w:locked/>
    <w:rsid w:val="003B7120"/>
    <w:rPr>
      <w:rFonts w:ascii="Arial" w:eastAsia="Times New Roman" w:hAnsi="Arial" w:cs="Times New Roman"/>
      <w:szCs w:val="21"/>
      <w:lang w:val="sq-AL" w:eastAsia="de-DE"/>
    </w:rPr>
  </w:style>
  <w:style w:type="paragraph" w:styleId="ListParagraph">
    <w:name w:val="List Paragraph"/>
    <w:aliases w:val="List Paragraph (numbered (a))"/>
    <w:basedOn w:val="Normal"/>
    <w:link w:val="ListParagraphChar"/>
    <w:uiPriority w:val="34"/>
    <w:qFormat/>
    <w:rsid w:val="003B7120"/>
    <w:pPr>
      <w:overflowPunct w:val="0"/>
      <w:autoSpaceDE w:val="0"/>
      <w:autoSpaceDN w:val="0"/>
      <w:adjustRightInd w:val="0"/>
      <w:spacing w:after="120" w:line="240" w:lineRule="auto"/>
      <w:ind w:left="284" w:hanging="284"/>
      <w:contextualSpacing/>
      <w:jc w:val="both"/>
    </w:pPr>
    <w:rPr>
      <w:rFonts w:ascii="Arial" w:eastAsia="Times New Roman" w:hAnsi="Arial" w:cs="Times New Roman"/>
      <w:szCs w:val="21"/>
      <w:lang w:eastAsia="de-DE"/>
    </w:rPr>
  </w:style>
  <w:style w:type="paragraph" w:customStyle="1" w:styleId="Default">
    <w:name w:val="Default"/>
    <w:rsid w:val="003B7120"/>
    <w:pPr>
      <w:autoSpaceDE w:val="0"/>
      <w:autoSpaceDN w:val="0"/>
      <w:adjustRightInd w:val="0"/>
      <w:spacing w:after="0" w:line="240" w:lineRule="auto"/>
    </w:pPr>
    <w:rPr>
      <w:rFonts w:ascii="Arial" w:eastAsia="Times New Roman" w:hAnsi="Arial" w:cs="Symbol"/>
      <w:color w:val="000000"/>
      <w:sz w:val="24"/>
      <w:szCs w:val="24"/>
      <w:lang w:eastAsia="de-DE"/>
    </w:rPr>
  </w:style>
  <w:style w:type="table" w:customStyle="1" w:styleId="Tabelraster1">
    <w:name w:val="Tabelraster1"/>
    <w:basedOn w:val="TableNormal"/>
    <w:uiPriority w:val="39"/>
    <w:rsid w:val="003B71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1">
    <w:name w:val="Text 1"/>
    <w:basedOn w:val="Normal"/>
    <w:rsid w:val="00181E9D"/>
    <w:pPr>
      <w:spacing w:before="120" w:after="120" w:line="240" w:lineRule="auto"/>
      <w:ind w:left="850"/>
      <w:jc w:val="both"/>
    </w:pPr>
    <w:rPr>
      <w:rFonts w:ascii="Times New Roman" w:eastAsia="Times New Roman" w:hAnsi="Times New Roman" w:cs="Times New Roman"/>
      <w:sz w:val="24"/>
      <w:szCs w:val="24"/>
      <w:lang w:eastAsia="de-DE"/>
    </w:rPr>
  </w:style>
  <w:style w:type="character" w:customStyle="1" w:styleId="Heading2Char">
    <w:name w:val="Heading 2 Char"/>
    <w:basedOn w:val="DefaultParagraphFont"/>
    <w:link w:val="Heading2"/>
    <w:rsid w:val="00D5403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54031"/>
    <w:rPr>
      <w:rFonts w:ascii="Arial" w:eastAsia="Arial" w:hAnsi="Arial" w:cs="Arial"/>
      <w:b/>
      <w:i/>
      <w:color w:val="000000"/>
      <w:sz w:val="24"/>
    </w:rPr>
  </w:style>
  <w:style w:type="character" w:customStyle="1" w:styleId="Heading4Char">
    <w:name w:val="Heading 4 Char"/>
    <w:basedOn w:val="DefaultParagraphFont"/>
    <w:link w:val="Heading4"/>
    <w:uiPriority w:val="9"/>
    <w:rsid w:val="00D54031"/>
    <w:rPr>
      <w:rFonts w:ascii="Arial" w:eastAsia="Arial" w:hAnsi="Arial" w:cs="Arial"/>
      <w:b/>
      <w:color w:val="000000"/>
      <w:sz w:val="24"/>
    </w:rPr>
  </w:style>
  <w:style w:type="character" w:customStyle="1" w:styleId="Heading5Char">
    <w:name w:val="Heading 5 Char"/>
    <w:basedOn w:val="DefaultParagraphFont"/>
    <w:link w:val="Heading5"/>
    <w:uiPriority w:val="9"/>
    <w:rsid w:val="00D54031"/>
    <w:rPr>
      <w:rFonts w:ascii="Arial" w:eastAsia="Arial" w:hAnsi="Arial" w:cs="Arial"/>
      <w:b/>
      <w:i/>
      <w:color w:val="000000"/>
      <w:sz w:val="24"/>
    </w:rPr>
  </w:style>
  <w:style w:type="paragraph" w:customStyle="1" w:styleId="footnotedescription">
    <w:name w:val="footnote description"/>
    <w:next w:val="Normal"/>
    <w:link w:val="footnotedescriptionChar"/>
    <w:hidden/>
    <w:rsid w:val="00D54031"/>
    <w:pPr>
      <w:spacing w:after="0" w:line="216" w:lineRule="auto"/>
      <w:ind w:left="720" w:hanging="720"/>
      <w:jc w:val="both"/>
    </w:pPr>
    <w:rPr>
      <w:rFonts w:ascii="Arial" w:eastAsia="Arial" w:hAnsi="Arial" w:cs="Arial"/>
      <w:color w:val="000000"/>
      <w:sz w:val="16"/>
    </w:rPr>
  </w:style>
  <w:style w:type="character" w:customStyle="1" w:styleId="footnotedescriptionChar">
    <w:name w:val="footnote description Char"/>
    <w:link w:val="footnotedescription"/>
    <w:rsid w:val="00D54031"/>
    <w:rPr>
      <w:rFonts w:ascii="Arial" w:eastAsia="Arial" w:hAnsi="Arial" w:cs="Arial"/>
      <w:color w:val="000000"/>
      <w:sz w:val="16"/>
    </w:rPr>
  </w:style>
  <w:style w:type="character" w:customStyle="1" w:styleId="footnotemark">
    <w:name w:val="footnote mark"/>
    <w:hidden/>
    <w:rsid w:val="00D54031"/>
    <w:rPr>
      <w:rFonts w:ascii="Arial" w:eastAsia="Arial" w:hAnsi="Arial" w:cs="Arial"/>
      <w:color w:val="000000"/>
      <w:sz w:val="16"/>
      <w:vertAlign w:val="superscript"/>
    </w:rPr>
  </w:style>
  <w:style w:type="table" w:customStyle="1" w:styleId="TableGrid0">
    <w:name w:val="TableGrid"/>
    <w:rsid w:val="00D54031"/>
    <w:pPr>
      <w:spacing w:after="0" w:line="240" w:lineRule="auto"/>
    </w:pPr>
    <w:rPr>
      <w:rFonts w:eastAsiaTheme="minorEastAsia"/>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D54031"/>
    <w:rPr>
      <w:sz w:val="16"/>
      <w:szCs w:val="16"/>
    </w:rPr>
  </w:style>
  <w:style w:type="paragraph" w:styleId="CommentText">
    <w:name w:val="annotation text"/>
    <w:basedOn w:val="Normal"/>
    <w:link w:val="CommentTextChar"/>
    <w:uiPriority w:val="99"/>
    <w:semiHidden/>
    <w:unhideWhenUsed/>
    <w:rsid w:val="00D54031"/>
    <w:pPr>
      <w:spacing w:after="158" w:line="240" w:lineRule="auto"/>
      <w:ind w:left="705" w:right="11" w:firstLine="1"/>
      <w:jc w:val="both"/>
    </w:pPr>
    <w:rPr>
      <w:rFonts w:ascii="Arial" w:eastAsia="Arial" w:hAnsi="Arial" w:cs="Arial"/>
      <w:color w:val="000000"/>
      <w:sz w:val="20"/>
      <w:szCs w:val="20"/>
    </w:rPr>
  </w:style>
  <w:style w:type="character" w:customStyle="1" w:styleId="CommentTextChar">
    <w:name w:val="Comment Text Char"/>
    <w:basedOn w:val="DefaultParagraphFont"/>
    <w:link w:val="CommentText"/>
    <w:uiPriority w:val="99"/>
    <w:semiHidden/>
    <w:rsid w:val="00D54031"/>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D54031"/>
    <w:rPr>
      <w:b/>
      <w:bCs/>
    </w:rPr>
  </w:style>
  <w:style w:type="character" w:customStyle="1" w:styleId="CommentSubjectChar">
    <w:name w:val="Comment Subject Char"/>
    <w:basedOn w:val="CommentTextChar"/>
    <w:link w:val="CommentSubject"/>
    <w:uiPriority w:val="99"/>
    <w:semiHidden/>
    <w:rsid w:val="00D54031"/>
    <w:rPr>
      <w:rFonts w:ascii="Arial" w:eastAsia="Arial" w:hAnsi="Arial" w:cs="Arial"/>
      <w:b/>
      <w:bCs/>
      <w:color w:val="000000"/>
      <w:sz w:val="20"/>
      <w:szCs w:val="20"/>
    </w:rPr>
  </w:style>
  <w:style w:type="paragraph" w:styleId="Revision">
    <w:name w:val="Revision"/>
    <w:hidden/>
    <w:uiPriority w:val="99"/>
    <w:semiHidden/>
    <w:rsid w:val="00D54031"/>
    <w:pPr>
      <w:spacing w:after="0" w:line="240" w:lineRule="auto"/>
    </w:pPr>
    <w:rPr>
      <w:rFonts w:ascii="Arial" w:eastAsia="Arial" w:hAnsi="Arial" w:cs="Arial"/>
      <w:color w:val="000000"/>
    </w:rPr>
  </w:style>
  <w:style w:type="paragraph" w:styleId="BalloonText">
    <w:name w:val="Balloon Text"/>
    <w:basedOn w:val="Normal"/>
    <w:link w:val="BalloonTextChar"/>
    <w:uiPriority w:val="99"/>
    <w:semiHidden/>
    <w:unhideWhenUsed/>
    <w:rsid w:val="00D54031"/>
    <w:pPr>
      <w:spacing w:after="0" w:line="240" w:lineRule="auto"/>
      <w:ind w:left="705" w:right="11" w:firstLine="1"/>
      <w:jc w:val="both"/>
    </w:pPr>
    <w:rPr>
      <w:rFonts w:ascii="Segoe UI" w:eastAsia="Arial" w:hAnsi="Segoe UI" w:cs="Segoe UI"/>
      <w:color w:val="000000"/>
      <w:sz w:val="18"/>
      <w:szCs w:val="18"/>
    </w:rPr>
  </w:style>
  <w:style w:type="character" w:customStyle="1" w:styleId="BalloonTextChar">
    <w:name w:val="Balloon Text Char"/>
    <w:basedOn w:val="DefaultParagraphFont"/>
    <w:link w:val="BalloonText"/>
    <w:uiPriority w:val="99"/>
    <w:semiHidden/>
    <w:rsid w:val="00D54031"/>
    <w:rPr>
      <w:rFonts w:ascii="Segoe UI" w:eastAsia="Arial" w:hAnsi="Segoe UI" w:cs="Segoe UI"/>
      <w:color w:val="000000"/>
      <w:sz w:val="18"/>
      <w:szCs w:val="18"/>
    </w:rPr>
  </w:style>
  <w:style w:type="paragraph" w:styleId="Header">
    <w:name w:val="header"/>
    <w:basedOn w:val="Normal"/>
    <w:link w:val="HeaderChar"/>
    <w:uiPriority w:val="99"/>
    <w:unhideWhenUsed/>
    <w:rsid w:val="006958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8AD"/>
  </w:style>
  <w:style w:type="paragraph" w:styleId="Footer">
    <w:name w:val="footer"/>
    <w:basedOn w:val="Normal"/>
    <w:link w:val="FooterChar"/>
    <w:uiPriority w:val="99"/>
    <w:unhideWhenUsed/>
    <w:rsid w:val="006958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8AD"/>
  </w:style>
  <w:style w:type="character" w:styleId="Hyperlink">
    <w:name w:val="Hyperlink"/>
    <w:basedOn w:val="DefaultParagraphFont"/>
    <w:uiPriority w:val="99"/>
    <w:unhideWhenUsed/>
    <w:rsid w:val="00907A19"/>
    <w:rPr>
      <w:color w:val="0563C1" w:themeColor="hyperlink"/>
      <w:u w:val="single"/>
    </w:rPr>
  </w:style>
  <w:style w:type="paragraph" w:styleId="TOCHeading">
    <w:name w:val="TOC Heading"/>
    <w:basedOn w:val="Heading1"/>
    <w:next w:val="Normal"/>
    <w:uiPriority w:val="39"/>
    <w:unhideWhenUsed/>
    <w:qFormat/>
    <w:rsid w:val="00477AF7"/>
    <w:pPr>
      <w:outlineLvl w:val="9"/>
    </w:pPr>
    <w:rPr>
      <w:lang w:eastAsia="nl-NL"/>
    </w:rPr>
  </w:style>
  <w:style w:type="paragraph" w:styleId="TOC1">
    <w:name w:val="toc 1"/>
    <w:basedOn w:val="Normal"/>
    <w:next w:val="Normal"/>
    <w:autoRedefine/>
    <w:uiPriority w:val="39"/>
    <w:unhideWhenUsed/>
    <w:rsid w:val="00477AF7"/>
    <w:pPr>
      <w:spacing w:after="100" w:line="240" w:lineRule="auto"/>
    </w:pPr>
    <w:rPr>
      <w:rFonts w:ascii="Times New Roman" w:eastAsia="Times New Roman" w:hAnsi="Times New Roman" w:cs="Times New Roman"/>
      <w:sz w:val="24"/>
      <w:szCs w:val="24"/>
      <w:lang w:eastAsia="en-GB"/>
    </w:rPr>
  </w:style>
  <w:style w:type="paragraph" w:styleId="TOC2">
    <w:name w:val="toc 2"/>
    <w:basedOn w:val="Normal"/>
    <w:next w:val="Normal"/>
    <w:autoRedefine/>
    <w:uiPriority w:val="39"/>
    <w:unhideWhenUsed/>
    <w:rsid w:val="006B66E4"/>
    <w:pPr>
      <w:tabs>
        <w:tab w:val="right" w:leader="dot" w:pos="9350"/>
      </w:tabs>
      <w:spacing w:after="100" w:line="240" w:lineRule="auto"/>
      <w:ind w:left="240"/>
    </w:pPr>
    <w:rPr>
      <w:rFonts w:ascii="Times New Roman" w:eastAsia="Times New Roman" w:hAnsi="Times New Roman" w:cs="Times New Roman"/>
      <w:sz w:val="24"/>
      <w:szCs w:val="24"/>
      <w:lang w:eastAsia="en-GB"/>
    </w:rPr>
  </w:style>
  <w:style w:type="character" w:styleId="IntenseReference">
    <w:name w:val="Intense Reference"/>
    <w:basedOn w:val="DefaultParagraphFont"/>
    <w:uiPriority w:val="32"/>
    <w:qFormat/>
    <w:rsid w:val="00477AF7"/>
    <w:rPr>
      <w:b/>
      <w:bCs/>
      <w:smallCaps/>
      <w:color w:val="4472C4" w:themeColor="accent1"/>
      <w:spacing w:val="5"/>
    </w:rPr>
  </w:style>
  <w:style w:type="character" w:styleId="Strong">
    <w:name w:val="Strong"/>
    <w:basedOn w:val="DefaultParagraphFont"/>
    <w:uiPriority w:val="22"/>
    <w:qFormat/>
    <w:rsid w:val="00477AF7"/>
    <w:rPr>
      <w:b/>
      <w:bCs/>
    </w:rPr>
  </w:style>
  <w:style w:type="paragraph" w:styleId="Title">
    <w:name w:val="Title"/>
    <w:basedOn w:val="Normal"/>
    <w:next w:val="Normal"/>
    <w:link w:val="TitleChar"/>
    <w:uiPriority w:val="10"/>
    <w:qFormat/>
    <w:rsid w:val="00477A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7AF7"/>
    <w:rPr>
      <w:rFonts w:asciiTheme="majorHAnsi" w:eastAsiaTheme="majorEastAsia" w:hAnsiTheme="majorHAnsi" w:cstheme="majorBidi"/>
      <w:spacing w:val="-10"/>
      <w:kern w:val="28"/>
      <w:sz w:val="56"/>
      <w:szCs w:val="56"/>
    </w:rPr>
  </w:style>
  <w:style w:type="paragraph" w:styleId="TableofFigures">
    <w:name w:val="table of figures"/>
    <w:basedOn w:val="Normal"/>
    <w:next w:val="Normal"/>
    <w:uiPriority w:val="99"/>
    <w:unhideWhenUsed/>
    <w:rsid w:val="00B43801"/>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4575">
      <w:bodyDiv w:val="1"/>
      <w:marLeft w:val="0"/>
      <w:marRight w:val="0"/>
      <w:marTop w:val="0"/>
      <w:marBottom w:val="0"/>
      <w:divBdr>
        <w:top w:val="none" w:sz="0" w:space="0" w:color="auto"/>
        <w:left w:val="none" w:sz="0" w:space="0" w:color="auto"/>
        <w:bottom w:val="none" w:sz="0" w:space="0" w:color="auto"/>
        <w:right w:val="none" w:sz="0" w:space="0" w:color="auto"/>
      </w:divBdr>
      <w:divsChild>
        <w:div w:id="1926379383">
          <w:marLeft w:val="0"/>
          <w:marRight w:val="0"/>
          <w:marTop w:val="0"/>
          <w:marBottom w:val="0"/>
          <w:divBdr>
            <w:top w:val="none" w:sz="0" w:space="0" w:color="auto"/>
            <w:left w:val="none" w:sz="0" w:space="0" w:color="auto"/>
            <w:bottom w:val="none" w:sz="0" w:space="0" w:color="auto"/>
            <w:right w:val="none" w:sz="0" w:space="0" w:color="auto"/>
          </w:divBdr>
        </w:div>
        <w:div w:id="1560284447">
          <w:marLeft w:val="0"/>
          <w:marRight w:val="0"/>
          <w:marTop w:val="0"/>
          <w:marBottom w:val="0"/>
          <w:divBdr>
            <w:top w:val="none" w:sz="0" w:space="0" w:color="auto"/>
            <w:left w:val="none" w:sz="0" w:space="0" w:color="auto"/>
            <w:bottom w:val="none" w:sz="0" w:space="0" w:color="auto"/>
            <w:right w:val="none" w:sz="0" w:space="0" w:color="auto"/>
          </w:divBdr>
        </w:div>
        <w:div w:id="1716005876">
          <w:marLeft w:val="0"/>
          <w:marRight w:val="0"/>
          <w:marTop w:val="0"/>
          <w:marBottom w:val="0"/>
          <w:divBdr>
            <w:top w:val="none" w:sz="0" w:space="0" w:color="auto"/>
            <w:left w:val="none" w:sz="0" w:space="0" w:color="auto"/>
            <w:bottom w:val="none" w:sz="0" w:space="0" w:color="auto"/>
            <w:right w:val="none" w:sz="0" w:space="0" w:color="auto"/>
          </w:divBdr>
        </w:div>
        <w:div w:id="840586026">
          <w:marLeft w:val="0"/>
          <w:marRight w:val="0"/>
          <w:marTop w:val="0"/>
          <w:marBottom w:val="0"/>
          <w:divBdr>
            <w:top w:val="none" w:sz="0" w:space="0" w:color="auto"/>
            <w:left w:val="none" w:sz="0" w:space="0" w:color="auto"/>
            <w:bottom w:val="none" w:sz="0" w:space="0" w:color="auto"/>
            <w:right w:val="none" w:sz="0" w:space="0" w:color="auto"/>
          </w:divBdr>
        </w:div>
        <w:div w:id="174157284">
          <w:marLeft w:val="0"/>
          <w:marRight w:val="0"/>
          <w:marTop w:val="0"/>
          <w:marBottom w:val="0"/>
          <w:divBdr>
            <w:top w:val="none" w:sz="0" w:space="0" w:color="auto"/>
            <w:left w:val="none" w:sz="0" w:space="0" w:color="auto"/>
            <w:bottom w:val="none" w:sz="0" w:space="0" w:color="auto"/>
            <w:right w:val="none" w:sz="0" w:space="0" w:color="auto"/>
          </w:divBdr>
        </w:div>
        <w:div w:id="1641694458">
          <w:marLeft w:val="0"/>
          <w:marRight w:val="0"/>
          <w:marTop w:val="0"/>
          <w:marBottom w:val="0"/>
          <w:divBdr>
            <w:top w:val="none" w:sz="0" w:space="0" w:color="auto"/>
            <w:left w:val="none" w:sz="0" w:space="0" w:color="auto"/>
            <w:bottom w:val="none" w:sz="0" w:space="0" w:color="auto"/>
            <w:right w:val="none" w:sz="0" w:space="0" w:color="auto"/>
          </w:divBdr>
        </w:div>
        <w:div w:id="962076864">
          <w:marLeft w:val="0"/>
          <w:marRight w:val="0"/>
          <w:marTop w:val="0"/>
          <w:marBottom w:val="0"/>
          <w:divBdr>
            <w:top w:val="none" w:sz="0" w:space="0" w:color="auto"/>
            <w:left w:val="none" w:sz="0" w:space="0" w:color="auto"/>
            <w:bottom w:val="none" w:sz="0" w:space="0" w:color="auto"/>
            <w:right w:val="none" w:sz="0" w:space="0" w:color="auto"/>
          </w:divBdr>
        </w:div>
        <w:div w:id="34233360">
          <w:marLeft w:val="0"/>
          <w:marRight w:val="0"/>
          <w:marTop w:val="0"/>
          <w:marBottom w:val="0"/>
          <w:divBdr>
            <w:top w:val="none" w:sz="0" w:space="0" w:color="auto"/>
            <w:left w:val="none" w:sz="0" w:space="0" w:color="auto"/>
            <w:bottom w:val="none" w:sz="0" w:space="0" w:color="auto"/>
            <w:right w:val="none" w:sz="0" w:space="0" w:color="auto"/>
          </w:divBdr>
        </w:div>
      </w:divsChild>
    </w:div>
    <w:div w:id="31466327">
      <w:bodyDiv w:val="1"/>
      <w:marLeft w:val="0"/>
      <w:marRight w:val="0"/>
      <w:marTop w:val="0"/>
      <w:marBottom w:val="0"/>
      <w:divBdr>
        <w:top w:val="none" w:sz="0" w:space="0" w:color="auto"/>
        <w:left w:val="none" w:sz="0" w:space="0" w:color="auto"/>
        <w:bottom w:val="none" w:sz="0" w:space="0" w:color="auto"/>
        <w:right w:val="none" w:sz="0" w:space="0" w:color="auto"/>
      </w:divBdr>
    </w:div>
    <w:div w:id="56247091">
      <w:bodyDiv w:val="1"/>
      <w:marLeft w:val="0"/>
      <w:marRight w:val="0"/>
      <w:marTop w:val="0"/>
      <w:marBottom w:val="0"/>
      <w:divBdr>
        <w:top w:val="none" w:sz="0" w:space="0" w:color="auto"/>
        <w:left w:val="none" w:sz="0" w:space="0" w:color="auto"/>
        <w:bottom w:val="none" w:sz="0" w:space="0" w:color="auto"/>
        <w:right w:val="none" w:sz="0" w:space="0" w:color="auto"/>
      </w:divBdr>
    </w:div>
    <w:div w:id="94324719">
      <w:bodyDiv w:val="1"/>
      <w:marLeft w:val="0"/>
      <w:marRight w:val="0"/>
      <w:marTop w:val="0"/>
      <w:marBottom w:val="0"/>
      <w:divBdr>
        <w:top w:val="none" w:sz="0" w:space="0" w:color="auto"/>
        <w:left w:val="none" w:sz="0" w:space="0" w:color="auto"/>
        <w:bottom w:val="none" w:sz="0" w:space="0" w:color="auto"/>
        <w:right w:val="none" w:sz="0" w:space="0" w:color="auto"/>
      </w:divBdr>
    </w:div>
    <w:div w:id="104663354">
      <w:bodyDiv w:val="1"/>
      <w:marLeft w:val="0"/>
      <w:marRight w:val="0"/>
      <w:marTop w:val="0"/>
      <w:marBottom w:val="0"/>
      <w:divBdr>
        <w:top w:val="none" w:sz="0" w:space="0" w:color="auto"/>
        <w:left w:val="none" w:sz="0" w:space="0" w:color="auto"/>
        <w:bottom w:val="none" w:sz="0" w:space="0" w:color="auto"/>
        <w:right w:val="none" w:sz="0" w:space="0" w:color="auto"/>
      </w:divBdr>
    </w:div>
    <w:div w:id="323899808">
      <w:bodyDiv w:val="1"/>
      <w:marLeft w:val="0"/>
      <w:marRight w:val="0"/>
      <w:marTop w:val="0"/>
      <w:marBottom w:val="0"/>
      <w:divBdr>
        <w:top w:val="none" w:sz="0" w:space="0" w:color="auto"/>
        <w:left w:val="none" w:sz="0" w:space="0" w:color="auto"/>
        <w:bottom w:val="none" w:sz="0" w:space="0" w:color="auto"/>
        <w:right w:val="none" w:sz="0" w:space="0" w:color="auto"/>
      </w:divBdr>
    </w:div>
    <w:div w:id="426314565">
      <w:bodyDiv w:val="1"/>
      <w:marLeft w:val="0"/>
      <w:marRight w:val="0"/>
      <w:marTop w:val="0"/>
      <w:marBottom w:val="0"/>
      <w:divBdr>
        <w:top w:val="none" w:sz="0" w:space="0" w:color="auto"/>
        <w:left w:val="none" w:sz="0" w:space="0" w:color="auto"/>
        <w:bottom w:val="none" w:sz="0" w:space="0" w:color="auto"/>
        <w:right w:val="none" w:sz="0" w:space="0" w:color="auto"/>
      </w:divBdr>
    </w:div>
    <w:div w:id="479075946">
      <w:bodyDiv w:val="1"/>
      <w:marLeft w:val="0"/>
      <w:marRight w:val="0"/>
      <w:marTop w:val="0"/>
      <w:marBottom w:val="0"/>
      <w:divBdr>
        <w:top w:val="none" w:sz="0" w:space="0" w:color="auto"/>
        <w:left w:val="none" w:sz="0" w:space="0" w:color="auto"/>
        <w:bottom w:val="none" w:sz="0" w:space="0" w:color="auto"/>
        <w:right w:val="none" w:sz="0" w:space="0" w:color="auto"/>
      </w:divBdr>
    </w:div>
    <w:div w:id="594939577">
      <w:bodyDiv w:val="1"/>
      <w:marLeft w:val="0"/>
      <w:marRight w:val="0"/>
      <w:marTop w:val="0"/>
      <w:marBottom w:val="0"/>
      <w:divBdr>
        <w:top w:val="none" w:sz="0" w:space="0" w:color="auto"/>
        <w:left w:val="none" w:sz="0" w:space="0" w:color="auto"/>
        <w:bottom w:val="none" w:sz="0" w:space="0" w:color="auto"/>
        <w:right w:val="none" w:sz="0" w:space="0" w:color="auto"/>
      </w:divBdr>
    </w:div>
    <w:div w:id="607854790">
      <w:bodyDiv w:val="1"/>
      <w:marLeft w:val="0"/>
      <w:marRight w:val="0"/>
      <w:marTop w:val="0"/>
      <w:marBottom w:val="0"/>
      <w:divBdr>
        <w:top w:val="none" w:sz="0" w:space="0" w:color="auto"/>
        <w:left w:val="none" w:sz="0" w:space="0" w:color="auto"/>
        <w:bottom w:val="none" w:sz="0" w:space="0" w:color="auto"/>
        <w:right w:val="none" w:sz="0" w:space="0" w:color="auto"/>
      </w:divBdr>
      <w:divsChild>
        <w:div w:id="1639188988">
          <w:marLeft w:val="0"/>
          <w:marRight w:val="0"/>
          <w:marTop w:val="0"/>
          <w:marBottom w:val="0"/>
          <w:divBdr>
            <w:top w:val="none" w:sz="0" w:space="0" w:color="auto"/>
            <w:left w:val="none" w:sz="0" w:space="0" w:color="auto"/>
            <w:bottom w:val="none" w:sz="0" w:space="0" w:color="auto"/>
            <w:right w:val="none" w:sz="0" w:space="0" w:color="auto"/>
          </w:divBdr>
        </w:div>
        <w:div w:id="251663137">
          <w:marLeft w:val="0"/>
          <w:marRight w:val="0"/>
          <w:marTop w:val="0"/>
          <w:marBottom w:val="0"/>
          <w:divBdr>
            <w:top w:val="none" w:sz="0" w:space="0" w:color="auto"/>
            <w:left w:val="none" w:sz="0" w:space="0" w:color="auto"/>
            <w:bottom w:val="none" w:sz="0" w:space="0" w:color="auto"/>
            <w:right w:val="none" w:sz="0" w:space="0" w:color="auto"/>
          </w:divBdr>
        </w:div>
        <w:div w:id="1983852722">
          <w:marLeft w:val="0"/>
          <w:marRight w:val="0"/>
          <w:marTop w:val="0"/>
          <w:marBottom w:val="0"/>
          <w:divBdr>
            <w:top w:val="none" w:sz="0" w:space="0" w:color="auto"/>
            <w:left w:val="none" w:sz="0" w:space="0" w:color="auto"/>
            <w:bottom w:val="none" w:sz="0" w:space="0" w:color="auto"/>
            <w:right w:val="none" w:sz="0" w:space="0" w:color="auto"/>
          </w:divBdr>
        </w:div>
      </w:divsChild>
    </w:div>
    <w:div w:id="809441964">
      <w:bodyDiv w:val="1"/>
      <w:marLeft w:val="0"/>
      <w:marRight w:val="0"/>
      <w:marTop w:val="0"/>
      <w:marBottom w:val="0"/>
      <w:divBdr>
        <w:top w:val="none" w:sz="0" w:space="0" w:color="auto"/>
        <w:left w:val="none" w:sz="0" w:space="0" w:color="auto"/>
        <w:bottom w:val="none" w:sz="0" w:space="0" w:color="auto"/>
        <w:right w:val="none" w:sz="0" w:space="0" w:color="auto"/>
      </w:divBdr>
      <w:divsChild>
        <w:div w:id="2086678806">
          <w:marLeft w:val="0"/>
          <w:marRight w:val="0"/>
          <w:marTop w:val="0"/>
          <w:marBottom w:val="0"/>
          <w:divBdr>
            <w:top w:val="none" w:sz="0" w:space="0" w:color="auto"/>
            <w:left w:val="none" w:sz="0" w:space="0" w:color="auto"/>
            <w:bottom w:val="none" w:sz="0" w:space="0" w:color="auto"/>
            <w:right w:val="none" w:sz="0" w:space="0" w:color="auto"/>
          </w:divBdr>
        </w:div>
        <w:div w:id="772359027">
          <w:marLeft w:val="0"/>
          <w:marRight w:val="0"/>
          <w:marTop w:val="0"/>
          <w:marBottom w:val="0"/>
          <w:divBdr>
            <w:top w:val="none" w:sz="0" w:space="0" w:color="auto"/>
            <w:left w:val="none" w:sz="0" w:space="0" w:color="auto"/>
            <w:bottom w:val="none" w:sz="0" w:space="0" w:color="auto"/>
            <w:right w:val="none" w:sz="0" w:space="0" w:color="auto"/>
          </w:divBdr>
        </w:div>
      </w:divsChild>
    </w:div>
    <w:div w:id="864097265">
      <w:bodyDiv w:val="1"/>
      <w:marLeft w:val="0"/>
      <w:marRight w:val="0"/>
      <w:marTop w:val="0"/>
      <w:marBottom w:val="0"/>
      <w:divBdr>
        <w:top w:val="none" w:sz="0" w:space="0" w:color="auto"/>
        <w:left w:val="none" w:sz="0" w:space="0" w:color="auto"/>
        <w:bottom w:val="none" w:sz="0" w:space="0" w:color="auto"/>
        <w:right w:val="none" w:sz="0" w:space="0" w:color="auto"/>
      </w:divBdr>
    </w:div>
    <w:div w:id="922836480">
      <w:bodyDiv w:val="1"/>
      <w:marLeft w:val="0"/>
      <w:marRight w:val="0"/>
      <w:marTop w:val="0"/>
      <w:marBottom w:val="0"/>
      <w:divBdr>
        <w:top w:val="none" w:sz="0" w:space="0" w:color="auto"/>
        <w:left w:val="none" w:sz="0" w:space="0" w:color="auto"/>
        <w:bottom w:val="none" w:sz="0" w:space="0" w:color="auto"/>
        <w:right w:val="none" w:sz="0" w:space="0" w:color="auto"/>
      </w:divBdr>
      <w:divsChild>
        <w:div w:id="354814629">
          <w:marLeft w:val="0"/>
          <w:marRight w:val="0"/>
          <w:marTop w:val="0"/>
          <w:marBottom w:val="0"/>
          <w:divBdr>
            <w:top w:val="none" w:sz="0" w:space="0" w:color="auto"/>
            <w:left w:val="none" w:sz="0" w:space="0" w:color="auto"/>
            <w:bottom w:val="none" w:sz="0" w:space="0" w:color="auto"/>
            <w:right w:val="none" w:sz="0" w:space="0" w:color="auto"/>
          </w:divBdr>
        </w:div>
        <w:div w:id="1788347471">
          <w:marLeft w:val="0"/>
          <w:marRight w:val="0"/>
          <w:marTop w:val="0"/>
          <w:marBottom w:val="0"/>
          <w:divBdr>
            <w:top w:val="none" w:sz="0" w:space="0" w:color="auto"/>
            <w:left w:val="none" w:sz="0" w:space="0" w:color="auto"/>
            <w:bottom w:val="none" w:sz="0" w:space="0" w:color="auto"/>
            <w:right w:val="none" w:sz="0" w:space="0" w:color="auto"/>
          </w:divBdr>
        </w:div>
        <w:div w:id="1292323643">
          <w:marLeft w:val="0"/>
          <w:marRight w:val="0"/>
          <w:marTop w:val="0"/>
          <w:marBottom w:val="0"/>
          <w:divBdr>
            <w:top w:val="none" w:sz="0" w:space="0" w:color="auto"/>
            <w:left w:val="none" w:sz="0" w:space="0" w:color="auto"/>
            <w:bottom w:val="none" w:sz="0" w:space="0" w:color="auto"/>
            <w:right w:val="none" w:sz="0" w:space="0" w:color="auto"/>
          </w:divBdr>
        </w:div>
      </w:divsChild>
    </w:div>
    <w:div w:id="1061296883">
      <w:bodyDiv w:val="1"/>
      <w:marLeft w:val="0"/>
      <w:marRight w:val="0"/>
      <w:marTop w:val="0"/>
      <w:marBottom w:val="0"/>
      <w:divBdr>
        <w:top w:val="none" w:sz="0" w:space="0" w:color="auto"/>
        <w:left w:val="none" w:sz="0" w:space="0" w:color="auto"/>
        <w:bottom w:val="none" w:sz="0" w:space="0" w:color="auto"/>
        <w:right w:val="none" w:sz="0" w:space="0" w:color="auto"/>
      </w:divBdr>
      <w:divsChild>
        <w:div w:id="1982147475">
          <w:marLeft w:val="0"/>
          <w:marRight w:val="0"/>
          <w:marTop w:val="0"/>
          <w:marBottom w:val="0"/>
          <w:divBdr>
            <w:top w:val="none" w:sz="0" w:space="0" w:color="auto"/>
            <w:left w:val="none" w:sz="0" w:space="0" w:color="auto"/>
            <w:bottom w:val="none" w:sz="0" w:space="0" w:color="auto"/>
            <w:right w:val="none" w:sz="0" w:space="0" w:color="auto"/>
          </w:divBdr>
        </w:div>
        <w:div w:id="1264263310">
          <w:marLeft w:val="0"/>
          <w:marRight w:val="0"/>
          <w:marTop w:val="0"/>
          <w:marBottom w:val="0"/>
          <w:divBdr>
            <w:top w:val="none" w:sz="0" w:space="0" w:color="auto"/>
            <w:left w:val="none" w:sz="0" w:space="0" w:color="auto"/>
            <w:bottom w:val="none" w:sz="0" w:space="0" w:color="auto"/>
            <w:right w:val="none" w:sz="0" w:space="0" w:color="auto"/>
          </w:divBdr>
        </w:div>
        <w:div w:id="121465546">
          <w:marLeft w:val="0"/>
          <w:marRight w:val="0"/>
          <w:marTop w:val="0"/>
          <w:marBottom w:val="0"/>
          <w:divBdr>
            <w:top w:val="none" w:sz="0" w:space="0" w:color="auto"/>
            <w:left w:val="none" w:sz="0" w:space="0" w:color="auto"/>
            <w:bottom w:val="none" w:sz="0" w:space="0" w:color="auto"/>
            <w:right w:val="none" w:sz="0" w:space="0" w:color="auto"/>
          </w:divBdr>
        </w:div>
        <w:div w:id="1763796785">
          <w:marLeft w:val="0"/>
          <w:marRight w:val="0"/>
          <w:marTop w:val="0"/>
          <w:marBottom w:val="0"/>
          <w:divBdr>
            <w:top w:val="none" w:sz="0" w:space="0" w:color="auto"/>
            <w:left w:val="none" w:sz="0" w:space="0" w:color="auto"/>
            <w:bottom w:val="none" w:sz="0" w:space="0" w:color="auto"/>
            <w:right w:val="none" w:sz="0" w:space="0" w:color="auto"/>
          </w:divBdr>
        </w:div>
        <w:div w:id="1488201805">
          <w:marLeft w:val="0"/>
          <w:marRight w:val="0"/>
          <w:marTop w:val="0"/>
          <w:marBottom w:val="0"/>
          <w:divBdr>
            <w:top w:val="none" w:sz="0" w:space="0" w:color="auto"/>
            <w:left w:val="none" w:sz="0" w:space="0" w:color="auto"/>
            <w:bottom w:val="none" w:sz="0" w:space="0" w:color="auto"/>
            <w:right w:val="none" w:sz="0" w:space="0" w:color="auto"/>
          </w:divBdr>
        </w:div>
        <w:div w:id="334721973">
          <w:marLeft w:val="0"/>
          <w:marRight w:val="0"/>
          <w:marTop w:val="0"/>
          <w:marBottom w:val="0"/>
          <w:divBdr>
            <w:top w:val="none" w:sz="0" w:space="0" w:color="auto"/>
            <w:left w:val="none" w:sz="0" w:space="0" w:color="auto"/>
            <w:bottom w:val="none" w:sz="0" w:space="0" w:color="auto"/>
            <w:right w:val="none" w:sz="0" w:space="0" w:color="auto"/>
          </w:divBdr>
        </w:div>
        <w:div w:id="236092607">
          <w:marLeft w:val="0"/>
          <w:marRight w:val="0"/>
          <w:marTop w:val="0"/>
          <w:marBottom w:val="0"/>
          <w:divBdr>
            <w:top w:val="none" w:sz="0" w:space="0" w:color="auto"/>
            <w:left w:val="none" w:sz="0" w:space="0" w:color="auto"/>
            <w:bottom w:val="none" w:sz="0" w:space="0" w:color="auto"/>
            <w:right w:val="none" w:sz="0" w:space="0" w:color="auto"/>
          </w:divBdr>
        </w:div>
        <w:div w:id="1491479570">
          <w:marLeft w:val="0"/>
          <w:marRight w:val="0"/>
          <w:marTop w:val="0"/>
          <w:marBottom w:val="0"/>
          <w:divBdr>
            <w:top w:val="none" w:sz="0" w:space="0" w:color="auto"/>
            <w:left w:val="none" w:sz="0" w:space="0" w:color="auto"/>
            <w:bottom w:val="none" w:sz="0" w:space="0" w:color="auto"/>
            <w:right w:val="none" w:sz="0" w:space="0" w:color="auto"/>
          </w:divBdr>
        </w:div>
        <w:div w:id="1349789729">
          <w:marLeft w:val="0"/>
          <w:marRight w:val="0"/>
          <w:marTop w:val="0"/>
          <w:marBottom w:val="0"/>
          <w:divBdr>
            <w:top w:val="none" w:sz="0" w:space="0" w:color="auto"/>
            <w:left w:val="none" w:sz="0" w:space="0" w:color="auto"/>
            <w:bottom w:val="none" w:sz="0" w:space="0" w:color="auto"/>
            <w:right w:val="none" w:sz="0" w:space="0" w:color="auto"/>
          </w:divBdr>
        </w:div>
        <w:div w:id="401826">
          <w:marLeft w:val="0"/>
          <w:marRight w:val="0"/>
          <w:marTop w:val="0"/>
          <w:marBottom w:val="0"/>
          <w:divBdr>
            <w:top w:val="none" w:sz="0" w:space="0" w:color="auto"/>
            <w:left w:val="none" w:sz="0" w:space="0" w:color="auto"/>
            <w:bottom w:val="none" w:sz="0" w:space="0" w:color="auto"/>
            <w:right w:val="none" w:sz="0" w:space="0" w:color="auto"/>
          </w:divBdr>
        </w:div>
        <w:div w:id="1196310121">
          <w:marLeft w:val="0"/>
          <w:marRight w:val="0"/>
          <w:marTop w:val="0"/>
          <w:marBottom w:val="0"/>
          <w:divBdr>
            <w:top w:val="none" w:sz="0" w:space="0" w:color="auto"/>
            <w:left w:val="none" w:sz="0" w:space="0" w:color="auto"/>
            <w:bottom w:val="none" w:sz="0" w:space="0" w:color="auto"/>
            <w:right w:val="none" w:sz="0" w:space="0" w:color="auto"/>
          </w:divBdr>
        </w:div>
        <w:div w:id="1388604395">
          <w:marLeft w:val="0"/>
          <w:marRight w:val="0"/>
          <w:marTop w:val="0"/>
          <w:marBottom w:val="0"/>
          <w:divBdr>
            <w:top w:val="none" w:sz="0" w:space="0" w:color="auto"/>
            <w:left w:val="none" w:sz="0" w:space="0" w:color="auto"/>
            <w:bottom w:val="none" w:sz="0" w:space="0" w:color="auto"/>
            <w:right w:val="none" w:sz="0" w:space="0" w:color="auto"/>
          </w:divBdr>
        </w:div>
      </w:divsChild>
    </w:div>
    <w:div w:id="1087772800">
      <w:bodyDiv w:val="1"/>
      <w:marLeft w:val="0"/>
      <w:marRight w:val="0"/>
      <w:marTop w:val="0"/>
      <w:marBottom w:val="0"/>
      <w:divBdr>
        <w:top w:val="none" w:sz="0" w:space="0" w:color="auto"/>
        <w:left w:val="none" w:sz="0" w:space="0" w:color="auto"/>
        <w:bottom w:val="none" w:sz="0" w:space="0" w:color="auto"/>
        <w:right w:val="none" w:sz="0" w:space="0" w:color="auto"/>
      </w:divBdr>
    </w:div>
    <w:div w:id="1180317401">
      <w:bodyDiv w:val="1"/>
      <w:marLeft w:val="0"/>
      <w:marRight w:val="0"/>
      <w:marTop w:val="0"/>
      <w:marBottom w:val="0"/>
      <w:divBdr>
        <w:top w:val="none" w:sz="0" w:space="0" w:color="auto"/>
        <w:left w:val="none" w:sz="0" w:space="0" w:color="auto"/>
        <w:bottom w:val="none" w:sz="0" w:space="0" w:color="auto"/>
        <w:right w:val="none" w:sz="0" w:space="0" w:color="auto"/>
      </w:divBdr>
    </w:div>
    <w:div w:id="1222909854">
      <w:bodyDiv w:val="1"/>
      <w:marLeft w:val="0"/>
      <w:marRight w:val="0"/>
      <w:marTop w:val="0"/>
      <w:marBottom w:val="0"/>
      <w:divBdr>
        <w:top w:val="none" w:sz="0" w:space="0" w:color="auto"/>
        <w:left w:val="none" w:sz="0" w:space="0" w:color="auto"/>
        <w:bottom w:val="none" w:sz="0" w:space="0" w:color="auto"/>
        <w:right w:val="none" w:sz="0" w:space="0" w:color="auto"/>
      </w:divBdr>
      <w:divsChild>
        <w:div w:id="1242910752">
          <w:marLeft w:val="0"/>
          <w:marRight w:val="0"/>
          <w:marTop w:val="0"/>
          <w:marBottom w:val="0"/>
          <w:divBdr>
            <w:top w:val="none" w:sz="0" w:space="0" w:color="auto"/>
            <w:left w:val="none" w:sz="0" w:space="0" w:color="auto"/>
            <w:bottom w:val="none" w:sz="0" w:space="0" w:color="auto"/>
            <w:right w:val="none" w:sz="0" w:space="0" w:color="auto"/>
          </w:divBdr>
        </w:div>
        <w:div w:id="1784153136">
          <w:marLeft w:val="0"/>
          <w:marRight w:val="0"/>
          <w:marTop w:val="0"/>
          <w:marBottom w:val="0"/>
          <w:divBdr>
            <w:top w:val="none" w:sz="0" w:space="0" w:color="auto"/>
            <w:left w:val="none" w:sz="0" w:space="0" w:color="auto"/>
            <w:bottom w:val="none" w:sz="0" w:space="0" w:color="auto"/>
            <w:right w:val="none" w:sz="0" w:space="0" w:color="auto"/>
          </w:divBdr>
        </w:div>
        <w:div w:id="581915624">
          <w:marLeft w:val="0"/>
          <w:marRight w:val="0"/>
          <w:marTop w:val="0"/>
          <w:marBottom w:val="0"/>
          <w:divBdr>
            <w:top w:val="none" w:sz="0" w:space="0" w:color="auto"/>
            <w:left w:val="none" w:sz="0" w:space="0" w:color="auto"/>
            <w:bottom w:val="none" w:sz="0" w:space="0" w:color="auto"/>
            <w:right w:val="none" w:sz="0" w:space="0" w:color="auto"/>
          </w:divBdr>
        </w:div>
        <w:div w:id="205872958">
          <w:marLeft w:val="0"/>
          <w:marRight w:val="0"/>
          <w:marTop w:val="0"/>
          <w:marBottom w:val="0"/>
          <w:divBdr>
            <w:top w:val="none" w:sz="0" w:space="0" w:color="auto"/>
            <w:left w:val="none" w:sz="0" w:space="0" w:color="auto"/>
            <w:bottom w:val="none" w:sz="0" w:space="0" w:color="auto"/>
            <w:right w:val="none" w:sz="0" w:space="0" w:color="auto"/>
          </w:divBdr>
        </w:div>
        <w:div w:id="1725106195">
          <w:marLeft w:val="0"/>
          <w:marRight w:val="0"/>
          <w:marTop w:val="0"/>
          <w:marBottom w:val="0"/>
          <w:divBdr>
            <w:top w:val="none" w:sz="0" w:space="0" w:color="auto"/>
            <w:left w:val="none" w:sz="0" w:space="0" w:color="auto"/>
            <w:bottom w:val="none" w:sz="0" w:space="0" w:color="auto"/>
            <w:right w:val="none" w:sz="0" w:space="0" w:color="auto"/>
          </w:divBdr>
        </w:div>
        <w:div w:id="1116481056">
          <w:marLeft w:val="0"/>
          <w:marRight w:val="0"/>
          <w:marTop w:val="0"/>
          <w:marBottom w:val="0"/>
          <w:divBdr>
            <w:top w:val="none" w:sz="0" w:space="0" w:color="auto"/>
            <w:left w:val="none" w:sz="0" w:space="0" w:color="auto"/>
            <w:bottom w:val="none" w:sz="0" w:space="0" w:color="auto"/>
            <w:right w:val="none" w:sz="0" w:space="0" w:color="auto"/>
          </w:divBdr>
        </w:div>
        <w:div w:id="634023940">
          <w:marLeft w:val="0"/>
          <w:marRight w:val="0"/>
          <w:marTop w:val="0"/>
          <w:marBottom w:val="0"/>
          <w:divBdr>
            <w:top w:val="none" w:sz="0" w:space="0" w:color="auto"/>
            <w:left w:val="none" w:sz="0" w:space="0" w:color="auto"/>
            <w:bottom w:val="none" w:sz="0" w:space="0" w:color="auto"/>
            <w:right w:val="none" w:sz="0" w:space="0" w:color="auto"/>
          </w:divBdr>
        </w:div>
        <w:div w:id="1608999532">
          <w:marLeft w:val="0"/>
          <w:marRight w:val="0"/>
          <w:marTop w:val="0"/>
          <w:marBottom w:val="0"/>
          <w:divBdr>
            <w:top w:val="none" w:sz="0" w:space="0" w:color="auto"/>
            <w:left w:val="none" w:sz="0" w:space="0" w:color="auto"/>
            <w:bottom w:val="none" w:sz="0" w:space="0" w:color="auto"/>
            <w:right w:val="none" w:sz="0" w:space="0" w:color="auto"/>
          </w:divBdr>
        </w:div>
        <w:div w:id="5401276">
          <w:marLeft w:val="0"/>
          <w:marRight w:val="0"/>
          <w:marTop w:val="0"/>
          <w:marBottom w:val="0"/>
          <w:divBdr>
            <w:top w:val="none" w:sz="0" w:space="0" w:color="auto"/>
            <w:left w:val="none" w:sz="0" w:space="0" w:color="auto"/>
            <w:bottom w:val="none" w:sz="0" w:space="0" w:color="auto"/>
            <w:right w:val="none" w:sz="0" w:space="0" w:color="auto"/>
          </w:divBdr>
        </w:div>
        <w:div w:id="1233276478">
          <w:marLeft w:val="0"/>
          <w:marRight w:val="0"/>
          <w:marTop w:val="0"/>
          <w:marBottom w:val="0"/>
          <w:divBdr>
            <w:top w:val="none" w:sz="0" w:space="0" w:color="auto"/>
            <w:left w:val="none" w:sz="0" w:space="0" w:color="auto"/>
            <w:bottom w:val="none" w:sz="0" w:space="0" w:color="auto"/>
            <w:right w:val="none" w:sz="0" w:space="0" w:color="auto"/>
          </w:divBdr>
        </w:div>
        <w:div w:id="1311784422">
          <w:marLeft w:val="0"/>
          <w:marRight w:val="0"/>
          <w:marTop w:val="0"/>
          <w:marBottom w:val="0"/>
          <w:divBdr>
            <w:top w:val="none" w:sz="0" w:space="0" w:color="auto"/>
            <w:left w:val="none" w:sz="0" w:space="0" w:color="auto"/>
            <w:bottom w:val="none" w:sz="0" w:space="0" w:color="auto"/>
            <w:right w:val="none" w:sz="0" w:space="0" w:color="auto"/>
          </w:divBdr>
        </w:div>
        <w:div w:id="766386523">
          <w:marLeft w:val="0"/>
          <w:marRight w:val="0"/>
          <w:marTop w:val="0"/>
          <w:marBottom w:val="0"/>
          <w:divBdr>
            <w:top w:val="none" w:sz="0" w:space="0" w:color="auto"/>
            <w:left w:val="none" w:sz="0" w:space="0" w:color="auto"/>
            <w:bottom w:val="none" w:sz="0" w:space="0" w:color="auto"/>
            <w:right w:val="none" w:sz="0" w:space="0" w:color="auto"/>
          </w:divBdr>
        </w:div>
        <w:div w:id="983461146">
          <w:marLeft w:val="0"/>
          <w:marRight w:val="0"/>
          <w:marTop w:val="0"/>
          <w:marBottom w:val="0"/>
          <w:divBdr>
            <w:top w:val="none" w:sz="0" w:space="0" w:color="auto"/>
            <w:left w:val="none" w:sz="0" w:space="0" w:color="auto"/>
            <w:bottom w:val="none" w:sz="0" w:space="0" w:color="auto"/>
            <w:right w:val="none" w:sz="0" w:space="0" w:color="auto"/>
          </w:divBdr>
        </w:div>
        <w:div w:id="668482340">
          <w:marLeft w:val="0"/>
          <w:marRight w:val="0"/>
          <w:marTop w:val="0"/>
          <w:marBottom w:val="0"/>
          <w:divBdr>
            <w:top w:val="none" w:sz="0" w:space="0" w:color="auto"/>
            <w:left w:val="none" w:sz="0" w:space="0" w:color="auto"/>
            <w:bottom w:val="none" w:sz="0" w:space="0" w:color="auto"/>
            <w:right w:val="none" w:sz="0" w:space="0" w:color="auto"/>
          </w:divBdr>
        </w:div>
        <w:div w:id="1793134804">
          <w:marLeft w:val="0"/>
          <w:marRight w:val="0"/>
          <w:marTop w:val="0"/>
          <w:marBottom w:val="0"/>
          <w:divBdr>
            <w:top w:val="none" w:sz="0" w:space="0" w:color="auto"/>
            <w:left w:val="none" w:sz="0" w:space="0" w:color="auto"/>
            <w:bottom w:val="none" w:sz="0" w:space="0" w:color="auto"/>
            <w:right w:val="none" w:sz="0" w:space="0" w:color="auto"/>
          </w:divBdr>
        </w:div>
        <w:div w:id="432867292">
          <w:marLeft w:val="0"/>
          <w:marRight w:val="0"/>
          <w:marTop w:val="0"/>
          <w:marBottom w:val="0"/>
          <w:divBdr>
            <w:top w:val="none" w:sz="0" w:space="0" w:color="auto"/>
            <w:left w:val="none" w:sz="0" w:space="0" w:color="auto"/>
            <w:bottom w:val="none" w:sz="0" w:space="0" w:color="auto"/>
            <w:right w:val="none" w:sz="0" w:space="0" w:color="auto"/>
          </w:divBdr>
        </w:div>
        <w:div w:id="262416700">
          <w:marLeft w:val="0"/>
          <w:marRight w:val="0"/>
          <w:marTop w:val="0"/>
          <w:marBottom w:val="0"/>
          <w:divBdr>
            <w:top w:val="none" w:sz="0" w:space="0" w:color="auto"/>
            <w:left w:val="none" w:sz="0" w:space="0" w:color="auto"/>
            <w:bottom w:val="none" w:sz="0" w:space="0" w:color="auto"/>
            <w:right w:val="none" w:sz="0" w:space="0" w:color="auto"/>
          </w:divBdr>
        </w:div>
        <w:div w:id="2077512887">
          <w:marLeft w:val="0"/>
          <w:marRight w:val="0"/>
          <w:marTop w:val="0"/>
          <w:marBottom w:val="0"/>
          <w:divBdr>
            <w:top w:val="none" w:sz="0" w:space="0" w:color="auto"/>
            <w:left w:val="none" w:sz="0" w:space="0" w:color="auto"/>
            <w:bottom w:val="none" w:sz="0" w:space="0" w:color="auto"/>
            <w:right w:val="none" w:sz="0" w:space="0" w:color="auto"/>
          </w:divBdr>
        </w:div>
        <w:div w:id="559556684">
          <w:marLeft w:val="0"/>
          <w:marRight w:val="0"/>
          <w:marTop w:val="0"/>
          <w:marBottom w:val="0"/>
          <w:divBdr>
            <w:top w:val="none" w:sz="0" w:space="0" w:color="auto"/>
            <w:left w:val="none" w:sz="0" w:space="0" w:color="auto"/>
            <w:bottom w:val="none" w:sz="0" w:space="0" w:color="auto"/>
            <w:right w:val="none" w:sz="0" w:space="0" w:color="auto"/>
          </w:divBdr>
        </w:div>
        <w:div w:id="2145538878">
          <w:marLeft w:val="0"/>
          <w:marRight w:val="0"/>
          <w:marTop w:val="0"/>
          <w:marBottom w:val="0"/>
          <w:divBdr>
            <w:top w:val="none" w:sz="0" w:space="0" w:color="auto"/>
            <w:left w:val="none" w:sz="0" w:space="0" w:color="auto"/>
            <w:bottom w:val="none" w:sz="0" w:space="0" w:color="auto"/>
            <w:right w:val="none" w:sz="0" w:space="0" w:color="auto"/>
          </w:divBdr>
        </w:div>
        <w:div w:id="202062778">
          <w:marLeft w:val="0"/>
          <w:marRight w:val="0"/>
          <w:marTop w:val="0"/>
          <w:marBottom w:val="0"/>
          <w:divBdr>
            <w:top w:val="none" w:sz="0" w:space="0" w:color="auto"/>
            <w:left w:val="none" w:sz="0" w:space="0" w:color="auto"/>
            <w:bottom w:val="none" w:sz="0" w:space="0" w:color="auto"/>
            <w:right w:val="none" w:sz="0" w:space="0" w:color="auto"/>
          </w:divBdr>
        </w:div>
        <w:div w:id="1751346146">
          <w:marLeft w:val="0"/>
          <w:marRight w:val="0"/>
          <w:marTop w:val="0"/>
          <w:marBottom w:val="0"/>
          <w:divBdr>
            <w:top w:val="none" w:sz="0" w:space="0" w:color="auto"/>
            <w:left w:val="none" w:sz="0" w:space="0" w:color="auto"/>
            <w:bottom w:val="none" w:sz="0" w:space="0" w:color="auto"/>
            <w:right w:val="none" w:sz="0" w:space="0" w:color="auto"/>
          </w:divBdr>
        </w:div>
        <w:div w:id="1793475563">
          <w:marLeft w:val="0"/>
          <w:marRight w:val="0"/>
          <w:marTop w:val="0"/>
          <w:marBottom w:val="0"/>
          <w:divBdr>
            <w:top w:val="none" w:sz="0" w:space="0" w:color="auto"/>
            <w:left w:val="none" w:sz="0" w:space="0" w:color="auto"/>
            <w:bottom w:val="none" w:sz="0" w:space="0" w:color="auto"/>
            <w:right w:val="none" w:sz="0" w:space="0" w:color="auto"/>
          </w:divBdr>
        </w:div>
        <w:div w:id="651830889">
          <w:marLeft w:val="0"/>
          <w:marRight w:val="0"/>
          <w:marTop w:val="0"/>
          <w:marBottom w:val="0"/>
          <w:divBdr>
            <w:top w:val="none" w:sz="0" w:space="0" w:color="auto"/>
            <w:left w:val="none" w:sz="0" w:space="0" w:color="auto"/>
            <w:bottom w:val="none" w:sz="0" w:space="0" w:color="auto"/>
            <w:right w:val="none" w:sz="0" w:space="0" w:color="auto"/>
          </w:divBdr>
        </w:div>
        <w:div w:id="624388856">
          <w:marLeft w:val="0"/>
          <w:marRight w:val="0"/>
          <w:marTop w:val="0"/>
          <w:marBottom w:val="0"/>
          <w:divBdr>
            <w:top w:val="none" w:sz="0" w:space="0" w:color="auto"/>
            <w:left w:val="none" w:sz="0" w:space="0" w:color="auto"/>
            <w:bottom w:val="none" w:sz="0" w:space="0" w:color="auto"/>
            <w:right w:val="none" w:sz="0" w:space="0" w:color="auto"/>
          </w:divBdr>
        </w:div>
        <w:div w:id="1676809042">
          <w:marLeft w:val="0"/>
          <w:marRight w:val="0"/>
          <w:marTop w:val="0"/>
          <w:marBottom w:val="0"/>
          <w:divBdr>
            <w:top w:val="none" w:sz="0" w:space="0" w:color="auto"/>
            <w:left w:val="none" w:sz="0" w:space="0" w:color="auto"/>
            <w:bottom w:val="none" w:sz="0" w:space="0" w:color="auto"/>
            <w:right w:val="none" w:sz="0" w:space="0" w:color="auto"/>
          </w:divBdr>
        </w:div>
        <w:div w:id="1329820973">
          <w:marLeft w:val="0"/>
          <w:marRight w:val="0"/>
          <w:marTop w:val="0"/>
          <w:marBottom w:val="0"/>
          <w:divBdr>
            <w:top w:val="none" w:sz="0" w:space="0" w:color="auto"/>
            <w:left w:val="none" w:sz="0" w:space="0" w:color="auto"/>
            <w:bottom w:val="none" w:sz="0" w:space="0" w:color="auto"/>
            <w:right w:val="none" w:sz="0" w:space="0" w:color="auto"/>
          </w:divBdr>
        </w:div>
        <w:div w:id="1819610429">
          <w:marLeft w:val="0"/>
          <w:marRight w:val="0"/>
          <w:marTop w:val="0"/>
          <w:marBottom w:val="0"/>
          <w:divBdr>
            <w:top w:val="none" w:sz="0" w:space="0" w:color="auto"/>
            <w:left w:val="none" w:sz="0" w:space="0" w:color="auto"/>
            <w:bottom w:val="none" w:sz="0" w:space="0" w:color="auto"/>
            <w:right w:val="none" w:sz="0" w:space="0" w:color="auto"/>
          </w:divBdr>
        </w:div>
        <w:div w:id="1473718727">
          <w:marLeft w:val="0"/>
          <w:marRight w:val="0"/>
          <w:marTop w:val="0"/>
          <w:marBottom w:val="0"/>
          <w:divBdr>
            <w:top w:val="none" w:sz="0" w:space="0" w:color="auto"/>
            <w:left w:val="none" w:sz="0" w:space="0" w:color="auto"/>
            <w:bottom w:val="none" w:sz="0" w:space="0" w:color="auto"/>
            <w:right w:val="none" w:sz="0" w:space="0" w:color="auto"/>
          </w:divBdr>
        </w:div>
      </w:divsChild>
    </w:div>
    <w:div w:id="1246570028">
      <w:bodyDiv w:val="1"/>
      <w:marLeft w:val="0"/>
      <w:marRight w:val="0"/>
      <w:marTop w:val="0"/>
      <w:marBottom w:val="0"/>
      <w:divBdr>
        <w:top w:val="none" w:sz="0" w:space="0" w:color="auto"/>
        <w:left w:val="none" w:sz="0" w:space="0" w:color="auto"/>
        <w:bottom w:val="none" w:sz="0" w:space="0" w:color="auto"/>
        <w:right w:val="none" w:sz="0" w:space="0" w:color="auto"/>
      </w:divBdr>
    </w:div>
    <w:div w:id="1347097475">
      <w:bodyDiv w:val="1"/>
      <w:marLeft w:val="0"/>
      <w:marRight w:val="0"/>
      <w:marTop w:val="0"/>
      <w:marBottom w:val="0"/>
      <w:divBdr>
        <w:top w:val="none" w:sz="0" w:space="0" w:color="auto"/>
        <w:left w:val="none" w:sz="0" w:space="0" w:color="auto"/>
        <w:bottom w:val="none" w:sz="0" w:space="0" w:color="auto"/>
        <w:right w:val="none" w:sz="0" w:space="0" w:color="auto"/>
      </w:divBdr>
    </w:div>
    <w:div w:id="1403143386">
      <w:bodyDiv w:val="1"/>
      <w:marLeft w:val="0"/>
      <w:marRight w:val="0"/>
      <w:marTop w:val="0"/>
      <w:marBottom w:val="0"/>
      <w:divBdr>
        <w:top w:val="none" w:sz="0" w:space="0" w:color="auto"/>
        <w:left w:val="none" w:sz="0" w:space="0" w:color="auto"/>
        <w:bottom w:val="none" w:sz="0" w:space="0" w:color="auto"/>
        <w:right w:val="none" w:sz="0" w:space="0" w:color="auto"/>
      </w:divBdr>
    </w:div>
    <w:div w:id="1492677947">
      <w:bodyDiv w:val="1"/>
      <w:marLeft w:val="0"/>
      <w:marRight w:val="0"/>
      <w:marTop w:val="0"/>
      <w:marBottom w:val="0"/>
      <w:divBdr>
        <w:top w:val="none" w:sz="0" w:space="0" w:color="auto"/>
        <w:left w:val="none" w:sz="0" w:space="0" w:color="auto"/>
        <w:bottom w:val="none" w:sz="0" w:space="0" w:color="auto"/>
        <w:right w:val="none" w:sz="0" w:space="0" w:color="auto"/>
      </w:divBdr>
    </w:div>
    <w:div w:id="1612973957">
      <w:bodyDiv w:val="1"/>
      <w:marLeft w:val="0"/>
      <w:marRight w:val="0"/>
      <w:marTop w:val="0"/>
      <w:marBottom w:val="0"/>
      <w:divBdr>
        <w:top w:val="none" w:sz="0" w:space="0" w:color="auto"/>
        <w:left w:val="none" w:sz="0" w:space="0" w:color="auto"/>
        <w:bottom w:val="none" w:sz="0" w:space="0" w:color="auto"/>
        <w:right w:val="none" w:sz="0" w:space="0" w:color="auto"/>
      </w:divBdr>
    </w:div>
    <w:div w:id="1614248087">
      <w:bodyDiv w:val="1"/>
      <w:marLeft w:val="0"/>
      <w:marRight w:val="0"/>
      <w:marTop w:val="0"/>
      <w:marBottom w:val="0"/>
      <w:divBdr>
        <w:top w:val="none" w:sz="0" w:space="0" w:color="auto"/>
        <w:left w:val="none" w:sz="0" w:space="0" w:color="auto"/>
        <w:bottom w:val="none" w:sz="0" w:space="0" w:color="auto"/>
        <w:right w:val="none" w:sz="0" w:space="0" w:color="auto"/>
      </w:divBdr>
      <w:divsChild>
        <w:div w:id="605231828">
          <w:marLeft w:val="0"/>
          <w:marRight w:val="0"/>
          <w:marTop w:val="0"/>
          <w:marBottom w:val="0"/>
          <w:divBdr>
            <w:top w:val="none" w:sz="0" w:space="0" w:color="auto"/>
            <w:left w:val="none" w:sz="0" w:space="0" w:color="auto"/>
            <w:bottom w:val="none" w:sz="0" w:space="0" w:color="auto"/>
            <w:right w:val="none" w:sz="0" w:space="0" w:color="auto"/>
          </w:divBdr>
        </w:div>
        <w:div w:id="1185746311">
          <w:marLeft w:val="0"/>
          <w:marRight w:val="0"/>
          <w:marTop w:val="0"/>
          <w:marBottom w:val="0"/>
          <w:divBdr>
            <w:top w:val="none" w:sz="0" w:space="0" w:color="auto"/>
            <w:left w:val="none" w:sz="0" w:space="0" w:color="auto"/>
            <w:bottom w:val="none" w:sz="0" w:space="0" w:color="auto"/>
            <w:right w:val="none" w:sz="0" w:space="0" w:color="auto"/>
          </w:divBdr>
        </w:div>
        <w:div w:id="45422169">
          <w:marLeft w:val="0"/>
          <w:marRight w:val="0"/>
          <w:marTop w:val="0"/>
          <w:marBottom w:val="0"/>
          <w:divBdr>
            <w:top w:val="none" w:sz="0" w:space="0" w:color="auto"/>
            <w:left w:val="none" w:sz="0" w:space="0" w:color="auto"/>
            <w:bottom w:val="none" w:sz="0" w:space="0" w:color="auto"/>
            <w:right w:val="none" w:sz="0" w:space="0" w:color="auto"/>
          </w:divBdr>
        </w:div>
        <w:div w:id="1939364658">
          <w:marLeft w:val="0"/>
          <w:marRight w:val="0"/>
          <w:marTop w:val="0"/>
          <w:marBottom w:val="0"/>
          <w:divBdr>
            <w:top w:val="none" w:sz="0" w:space="0" w:color="auto"/>
            <w:left w:val="none" w:sz="0" w:space="0" w:color="auto"/>
            <w:bottom w:val="none" w:sz="0" w:space="0" w:color="auto"/>
            <w:right w:val="none" w:sz="0" w:space="0" w:color="auto"/>
          </w:divBdr>
        </w:div>
        <w:div w:id="969750654">
          <w:marLeft w:val="0"/>
          <w:marRight w:val="0"/>
          <w:marTop w:val="0"/>
          <w:marBottom w:val="0"/>
          <w:divBdr>
            <w:top w:val="none" w:sz="0" w:space="0" w:color="auto"/>
            <w:left w:val="none" w:sz="0" w:space="0" w:color="auto"/>
            <w:bottom w:val="none" w:sz="0" w:space="0" w:color="auto"/>
            <w:right w:val="none" w:sz="0" w:space="0" w:color="auto"/>
          </w:divBdr>
        </w:div>
        <w:div w:id="1116606447">
          <w:marLeft w:val="0"/>
          <w:marRight w:val="0"/>
          <w:marTop w:val="0"/>
          <w:marBottom w:val="0"/>
          <w:divBdr>
            <w:top w:val="none" w:sz="0" w:space="0" w:color="auto"/>
            <w:left w:val="none" w:sz="0" w:space="0" w:color="auto"/>
            <w:bottom w:val="none" w:sz="0" w:space="0" w:color="auto"/>
            <w:right w:val="none" w:sz="0" w:space="0" w:color="auto"/>
          </w:divBdr>
        </w:div>
      </w:divsChild>
    </w:div>
    <w:div w:id="1660038416">
      <w:bodyDiv w:val="1"/>
      <w:marLeft w:val="0"/>
      <w:marRight w:val="0"/>
      <w:marTop w:val="0"/>
      <w:marBottom w:val="0"/>
      <w:divBdr>
        <w:top w:val="none" w:sz="0" w:space="0" w:color="auto"/>
        <w:left w:val="none" w:sz="0" w:space="0" w:color="auto"/>
        <w:bottom w:val="none" w:sz="0" w:space="0" w:color="auto"/>
        <w:right w:val="none" w:sz="0" w:space="0" w:color="auto"/>
      </w:divBdr>
      <w:divsChild>
        <w:div w:id="60492136">
          <w:marLeft w:val="0"/>
          <w:marRight w:val="0"/>
          <w:marTop w:val="0"/>
          <w:marBottom w:val="0"/>
          <w:divBdr>
            <w:top w:val="none" w:sz="0" w:space="0" w:color="auto"/>
            <w:left w:val="none" w:sz="0" w:space="0" w:color="auto"/>
            <w:bottom w:val="none" w:sz="0" w:space="0" w:color="auto"/>
            <w:right w:val="none" w:sz="0" w:space="0" w:color="auto"/>
          </w:divBdr>
        </w:div>
        <w:div w:id="1644584567">
          <w:marLeft w:val="0"/>
          <w:marRight w:val="0"/>
          <w:marTop w:val="0"/>
          <w:marBottom w:val="0"/>
          <w:divBdr>
            <w:top w:val="none" w:sz="0" w:space="0" w:color="auto"/>
            <w:left w:val="none" w:sz="0" w:space="0" w:color="auto"/>
            <w:bottom w:val="none" w:sz="0" w:space="0" w:color="auto"/>
            <w:right w:val="none" w:sz="0" w:space="0" w:color="auto"/>
          </w:divBdr>
        </w:div>
        <w:div w:id="686055147">
          <w:marLeft w:val="0"/>
          <w:marRight w:val="0"/>
          <w:marTop w:val="0"/>
          <w:marBottom w:val="0"/>
          <w:divBdr>
            <w:top w:val="none" w:sz="0" w:space="0" w:color="auto"/>
            <w:left w:val="none" w:sz="0" w:space="0" w:color="auto"/>
            <w:bottom w:val="none" w:sz="0" w:space="0" w:color="auto"/>
            <w:right w:val="none" w:sz="0" w:space="0" w:color="auto"/>
          </w:divBdr>
        </w:div>
        <w:div w:id="84960548">
          <w:marLeft w:val="0"/>
          <w:marRight w:val="0"/>
          <w:marTop w:val="0"/>
          <w:marBottom w:val="0"/>
          <w:divBdr>
            <w:top w:val="none" w:sz="0" w:space="0" w:color="auto"/>
            <w:left w:val="none" w:sz="0" w:space="0" w:color="auto"/>
            <w:bottom w:val="none" w:sz="0" w:space="0" w:color="auto"/>
            <w:right w:val="none" w:sz="0" w:space="0" w:color="auto"/>
          </w:divBdr>
        </w:div>
        <w:div w:id="1017081093">
          <w:marLeft w:val="0"/>
          <w:marRight w:val="0"/>
          <w:marTop w:val="0"/>
          <w:marBottom w:val="0"/>
          <w:divBdr>
            <w:top w:val="none" w:sz="0" w:space="0" w:color="auto"/>
            <w:left w:val="none" w:sz="0" w:space="0" w:color="auto"/>
            <w:bottom w:val="none" w:sz="0" w:space="0" w:color="auto"/>
            <w:right w:val="none" w:sz="0" w:space="0" w:color="auto"/>
          </w:divBdr>
        </w:div>
        <w:div w:id="2008744254">
          <w:marLeft w:val="0"/>
          <w:marRight w:val="0"/>
          <w:marTop w:val="0"/>
          <w:marBottom w:val="0"/>
          <w:divBdr>
            <w:top w:val="none" w:sz="0" w:space="0" w:color="auto"/>
            <w:left w:val="none" w:sz="0" w:space="0" w:color="auto"/>
            <w:bottom w:val="none" w:sz="0" w:space="0" w:color="auto"/>
            <w:right w:val="none" w:sz="0" w:space="0" w:color="auto"/>
          </w:divBdr>
        </w:div>
        <w:div w:id="667904240">
          <w:marLeft w:val="0"/>
          <w:marRight w:val="0"/>
          <w:marTop w:val="0"/>
          <w:marBottom w:val="0"/>
          <w:divBdr>
            <w:top w:val="none" w:sz="0" w:space="0" w:color="auto"/>
            <w:left w:val="none" w:sz="0" w:space="0" w:color="auto"/>
            <w:bottom w:val="none" w:sz="0" w:space="0" w:color="auto"/>
            <w:right w:val="none" w:sz="0" w:space="0" w:color="auto"/>
          </w:divBdr>
        </w:div>
        <w:div w:id="2026859459">
          <w:marLeft w:val="0"/>
          <w:marRight w:val="0"/>
          <w:marTop w:val="0"/>
          <w:marBottom w:val="0"/>
          <w:divBdr>
            <w:top w:val="none" w:sz="0" w:space="0" w:color="auto"/>
            <w:left w:val="none" w:sz="0" w:space="0" w:color="auto"/>
            <w:bottom w:val="none" w:sz="0" w:space="0" w:color="auto"/>
            <w:right w:val="none" w:sz="0" w:space="0" w:color="auto"/>
          </w:divBdr>
        </w:div>
        <w:div w:id="1316186162">
          <w:marLeft w:val="0"/>
          <w:marRight w:val="0"/>
          <w:marTop w:val="0"/>
          <w:marBottom w:val="0"/>
          <w:divBdr>
            <w:top w:val="none" w:sz="0" w:space="0" w:color="auto"/>
            <w:left w:val="none" w:sz="0" w:space="0" w:color="auto"/>
            <w:bottom w:val="none" w:sz="0" w:space="0" w:color="auto"/>
            <w:right w:val="none" w:sz="0" w:space="0" w:color="auto"/>
          </w:divBdr>
        </w:div>
      </w:divsChild>
    </w:div>
    <w:div w:id="1660814150">
      <w:bodyDiv w:val="1"/>
      <w:marLeft w:val="0"/>
      <w:marRight w:val="0"/>
      <w:marTop w:val="0"/>
      <w:marBottom w:val="0"/>
      <w:divBdr>
        <w:top w:val="none" w:sz="0" w:space="0" w:color="auto"/>
        <w:left w:val="none" w:sz="0" w:space="0" w:color="auto"/>
        <w:bottom w:val="none" w:sz="0" w:space="0" w:color="auto"/>
        <w:right w:val="none" w:sz="0" w:space="0" w:color="auto"/>
      </w:divBdr>
      <w:divsChild>
        <w:div w:id="2096785134">
          <w:marLeft w:val="0"/>
          <w:marRight w:val="0"/>
          <w:marTop w:val="0"/>
          <w:marBottom w:val="0"/>
          <w:divBdr>
            <w:top w:val="none" w:sz="0" w:space="0" w:color="auto"/>
            <w:left w:val="none" w:sz="0" w:space="0" w:color="auto"/>
            <w:bottom w:val="none" w:sz="0" w:space="0" w:color="auto"/>
            <w:right w:val="none" w:sz="0" w:space="0" w:color="auto"/>
          </w:divBdr>
        </w:div>
        <w:div w:id="1673138680">
          <w:marLeft w:val="0"/>
          <w:marRight w:val="0"/>
          <w:marTop w:val="0"/>
          <w:marBottom w:val="0"/>
          <w:divBdr>
            <w:top w:val="none" w:sz="0" w:space="0" w:color="auto"/>
            <w:left w:val="none" w:sz="0" w:space="0" w:color="auto"/>
            <w:bottom w:val="none" w:sz="0" w:space="0" w:color="auto"/>
            <w:right w:val="none" w:sz="0" w:space="0" w:color="auto"/>
          </w:divBdr>
        </w:div>
        <w:div w:id="1465154466">
          <w:marLeft w:val="0"/>
          <w:marRight w:val="0"/>
          <w:marTop w:val="0"/>
          <w:marBottom w:val="0"/>
          <w:divBdr>
            <w:top w:val="none" w:sz="0" w:space="0" w:color="auto"/>
            <w:left w:val="none" w:sz="0" w:space="0" w:color="auto"/>
            <w:bottom w:val="none" w:sz="0" w:space="0" w:color="auto"/>
            <w:right w:val="none" w:sz="0" w:space="0" w:color="auto"/>
          </w:divBdr>
        </w:div>
        <w:div w:id="896934143">
          <w:marLeft w:val="0"/>
          <w:marRight w:val="0"/>
          <w:marTop w:val="0"/>
          <w:marBottom w:val="0"/>
          <w:divBdr>
            <w:top w:val="none" w:sz="0" w:space="0" w:color="auto"/>
            <w:left w:val="none" w:sz="0" w:space="0" w:color="auto"/>
            <w:bottom w:val="none" w:sz="0" w:space="0" w:color="auto"/>
            <w:right w:val="none" w:sz="0" w:space="0" w:color="auto"/>
          </w:divBdr>
        </w:div>
        <w:div w:id="1443767106">
          <w:marLeft w:val="0"/>
          <w:marRight w:val="0"/>
          <w:marTop w:val="0"/>
          <w:marBottom w:val="0"/>
          <w:divBdr>
            <w:top w:val="none" w:sz="0" w:space="0" w:color="auto"/>
            <w:left w:val="none" w:sz="0" w:space="0" w:color="auto"/>
            <w:bottom w:val="none" w:sz="0" w:space="0" w:color="auto"/>
            <w:right w:val="none" w:sz="0" w:space="0" w:color="auto"/>
          </w:divBdr>
        </w:div>
        <w:div w:id="564531419">
          <w:marLeft w:val="0"/>
          <w:marRight w:val="0"/>
          <w:marTop w:val="0"/>
          <w:marBottom w:val="0"/>
          <w:divBdr>
            <w:top w:val="none" w:sz="0" w:space="0" w:color="auto"/>
            <w:left w:val="none" w:sz="0" w:space="0" w:color="auto"/>
            <w:bottom w:val="none" w:sz="0" w:space="0" w:color="auto"/>
            <w:right w:val="none" w:sz="0" w:space="0" w:color="auto"/>
          </w:divBdr>
        </w:div>
        <w:div w:id="471872639">
          <w:marLeft w:val="0"/>
          <w:marRight w:val="0"/>
          <w:marTop w:val="0"/>
          <w:marBottom w:val="0"/>
          <w:divBdr>
            <w:top w:val="none" w:sz="0" w:space="0" w:color="auto"/>
            <w:left w:val="none" w:sz="0" w:space="0" w:color="auto"/>
            <w:bottom w:val="none" w:sz="0" w:space="0" w:color="auto"/>
            <w:right w:val="none" w:sz="0" w:space="0" w:color="auto"/>
          </w:divBdr>
        </w:div>
        <w:div w:id="341512103">
          <w:marLeft w:val="0"/>
          <w:marRight w:val="0"/>
          <w:marTop w:val="0"/>
          <w:marBottom w:val="0"/>
          <w:divBdr>
            <w:top w:val="none" w:sz="0" w:space="0" w:color="auto"/>
            <w:left w:val="none" w:sz="0" w:space="0" w:color="auto"/>
            <w:bottom w:val="none" w:sz="0" w:space="0" w:color="auto"/>
            <w:right w:val="none" w:sz="0" w:space="0" w:color="auto"/>
          </w:divBdr>
        </w:div>
        <w:div w:id="2043479017">
          <w:marLeft w:val="0"/>
          <w:marRight w:val="0"/>
          <w:marTop w:val="0"/>
          <w:marBottom w:val="0"/>
          <w:divBdr>
            <w:top w:val="none" w:sz="0" w:space="0" w:color="auto"/>
            <w:left w:val="none" w:sz="0" w:space="0" w:color="auto"/>
            <w:bottom w:val="none" w:sz="0" w:space="0" w:color="auto"/>
            <w:right w:val="none" w:sz="0" w:space="0" w:color="auto"/>
          </w:divBdr>
        </w:div>
        <w:div w:id="2081707821">
          <w:marLeft w:val="0"/>
          <w:marRight w:val="0"/>
          <w:marTop w:val="0"/>
          <w:marBottom w:val="0"/>
          <w:divBdr>
            <w:top w:val="none" w:sz="0" w:space="0" w:color="auto"/>
            <w:left w:val="none" w:sz="0" w:space="0" w:color="auto"/>
            <w:bottom w:val="none" w:sz="0" w:space="0" w:color="auto"/>
            <w:right w:val="none" w:sz="0" w:space="0" w:color="auto"/>
          </w:divBdr>
        </w:div>
        <w:div w:id="111366120">
          <w:marLeft w:val="0"/>
          <w:marRight w:val="0"/>
          <w:marTop w:val="0"/>
          <w:marBottom w:val="0"/>
          <w:divBdr>
            <w:top w:val="none" w:sz="0" w:space="0" w:color="auto"/>
            <w:left w:val="none" w:sz="0" w:space="0" w:color="auto"/>
            <w:bottom w:val="none" w:sz="0" w:space="0" w:color="auto"/>
            <w:right w:val="none" w:sz="0" w:space="0" w:color="auto"/>
          </w:divBdr>
        </w:div>
        <w:div w:id="492335886">
          <w:marLeft w:val="0"/>
          <w:marRight w:val="0"/>
          <w:marTop w:val="0"/>
          <w:marBottom w:val="0"/>
          <w:divBdr>
            <w:top w:val="none" w:sz="0" w:space="0" w:color="auto"/>
            <w:left w:val="none" w:sz="0" w:space="0" w:color="auto"/>
            <w:bottom w:val="none" w:sz="0" w:space="0" w:color="auto"/>
            <w:right w:val="none" w:sz="0" w:space="0" w:color="auto"/>
          </w:divBdr>
        </w:div>
        <w:div w:id="488405444">
          <w:marLeft w:val="0"/>
          <w:marRight w:val="0"/>
          <w:marTop w:val="0"/>
          <w:marBottom w:val="0"/>
          <w:divBdr>
            <w:top w:val="none" w:sz="0" w:space="0" w:color="auto"/>
            <w:left w:val="none" w:sz="0" w:space="0" w:color="auto"/>
            <w:bottom w:val="none" w:sz="0" w:space="0" w:color="auto"/>
            <w:right w:val="none" w:sz="0" w:space="0" w:color="auto"/>
          </w:divBdr>
        </w:div>
        <w:div w:id="1887597892">
          <w:marLeft w:val="0"/>
          <w:marRight w:val="0"/>
          <w:marTop w:val="0"/>
          <w:marBottom w:val="0"/>
          <w:divBdr>
            <w:top w:val="none" w:sz="0" w:space="0" w:color="auto"/>
            <w:left w:val="none" w:sz="0" w:space="0" w:color="auto"/>
            <w:bottom w:val="none" w:sz="0" w:space="0" w:color="auto"/>
            <w:right w:val="none" w:sz="0" w:space="0" w:color="auto"/>
          </w:divBdr>
        </w:div>
      </w:divsChild>
    </w:div>
    <w:div w:id="1678461936">
      <w:bodyDiv w:val="1"/>
      <w:marLeft w:val="0"/>
      <w:marRight w:val="0"/>
      <w:marTop w:val="0"/>
      <w:marBottom w:val="0"/>
      <w:divBdr>
        <w:top w:val="none" w:sz="0" w:space="0" w:color="auto"/>
        <w:left w:val="none" w:sz="0" w:space="0" w:color="auto"/>
        <w:bottom w:val="none" w:sz="0" w:space="0" w:color="auto"/>
        <w:right w:val="none" w:sz="0" w:space="0" w:color="auto"/>
      </w:divBdr>
      <w:divsChild>
        <w:div w:id="1063406980">
          <w:marLeft w:val="0"/>
          <w:marRight w:val="0"/>
          <w:marTop w:val="0"/>
          <w:marBottom w:val="0"/>
          <w:divBdr>
            <w:top w:val="none" w:sz="0" w:space="0" w:color="auto"/>
            <w:left w:val="none" w:sz="0" w:space="0" w:color="auto"/>
            <w:bottom w:val="none" w:sz="0" w:space="0" w:color="auto"/>
            <w:right w:val="none" w:sz="0" w:space="0" w:color="auto"/>
          </w:divBdr>
        </w:div>
        <w:div w:id="1669284785">
          <w:marLeft w:val="0"/>
          <w:marRight w:val="0"/>
          <w:marTop w:val="0"/>
          <w:marBottom w:val="0"/>
          <w:divBdr>
            <w:top w:val="none" w:sz="0" w:space="0" w:color="auto"/>
            <w:left w:val="none" w:sz="0" w:space="0" w:color="auto"/>
            <w:bottom w:val="none" w:sz="0" w:space="0" w:color="auto"/>
            <w:right w:val="none" w:sz="0" w:space="0" w:color="auto"/>
          </w:divBdr>
        </w:div>
        <w:div w:id="1801336431">
          <w:marLeft w:val="0"/>
          <w:marRight w:val="0"/>
          <w:marTop w:val="0"/>
          <w:marBottom w:val="0"/>
          <w:divBdr>
            <w:top w:val="none" w:sz="0" w:space="0" w:color="auto"/>
            <w:left w:val="none" w:sz="0" w:space="0" w:color="auto"/>
            <w:bottom w:val="none" w:sz="0" w:space="0" w:color="auto"/>
            <w:right w:val="none" w:sz="0" w:space="0" w:color="auto"/>
          </w:divBdr>
        </w:div>
      </w:divsChild>
    </w:div>
    <w:div w:id="1722098177">
      <w:bodyDiv w:val="1"/>
      <w:marLeft w:val="0"/>
      <w:marRight w:val="0"/>
      <w:marTop w:val="0"/>
      <w:marBottom w:val="0"/>
      <w:divBdr>
        <w:top w:val="none" w:sz="0" w:space="0" w:color="auto"/>
        <w:left w:val="none" w:sz="0" w:space="0" w:color="auto"/>
        <w:bottom w:val="none" w:sz="0" w:space="0" w:color="auto"/>
        <w:right w:val="none" w:sz="0" w:space="0" w:color="auto"/>
      </w:divBdr>
    </w:div>
    <w:div w:id="1769159493">
      <w:bodyDiv w:val="1"/>
      <w:marLeft w:val="0"/>
      <w:marRight w:val="0"/>
      <w:marTop w:val="0"/>
      <w:marBottom w:val="0"/>
      <w:divBdr>
        <w:top w:val="none" w:sz="0" w:space="0" w:color="auto"/>
        <w:left w:val="none" w:sz="0" w:space="0" w:color="auto"/>
        <w:bottom w:val="none" w:sz="0" w:space="0" w:color="auto"/>
        <w:right w:val="none" w:sz="0" w:space="0" w:color="auto"/>
      </w:divBdr>
    </w:div>
    <w:div w:id="1786189194">
      <w:bodyDiv w:val="1"/>
      <w:marLeft w:val="0"/>
      <w:marRight w:val="0"/>
      <w:marTop w:val="0"/>
      <w:marBottom w:val="0"/>
      <w:divBdr>
        <w:top w:val="none" w:sz="0" w:space="0" w:color="auto"/>
        <w:left w:val="none" w:sz="0" w:space="0" w:color="auto"/>
        <w:bottom w:val="none" w:sz="0" w:space="0" w:color="auto"/>
        <w:right w:val="none" w:sz="0" w:space="0" w:color="auto"/>
      </w:divBdr>
    </w:div>
    <w:div w:id="1837382672">
      <w:bodyDiv w:val="1"/>
      <w:marLeft w:val="0"/>
      <w:marRight w:val="0"/>
      <w:marTop w:val="0"/>
      <w:marBottom w:val="0"/>
      <w:divBdr>
        <w:top w:val="none" w:sz="0" w:space="0" w:color="auto"/>
        <w:left w:val="none" w:sz="0" w:space="0" w:color="auto"/>
        <w:bottom w:val="none" w:sz="0" w:space="0" w:color="auto"/>
        <w:right w:val="none" w:sz="0" w:space="0" w:color="auto"/>
      </w:divBdr>
      <w:divsChild>
        <w:div w:id="1828016491">
          <w:marLeft w:val="0"/>
          <w:marRight w:val="0"/>
          <w:marTop w:val="0"/>
          <w:marBottom w:val="0"/>
          <w:divBdr>
            <w:top w:val="none" w:sz="0" w:space="0" w:color="auto"/>
            <w:left w:val="none" w:sz="0" w:space="0" w:color="auto"/>
            <w:bottom w:val="none" w:sz="0" w:space="0" w:color="auto"/>
            <w:right w:val="none" w:sz="0" w:space="0" w:color="auto"/>
          </w:divBdr>
        </w:div>
        <w:div w:id="257447618">
          <w:marLeft w:val="0"/>
          <w:marRight w:val="0"/>
          <w:marTop w:val="0"/>
          <w:marBottom w:val="0"/>
          <w:divBdr>
            <w:top w:val="none" w:sz="0" w:space="0" w:color="auto"/>
            <w:left w:val="none" w:sz="0" w:space="0" w:color="auto"/>
            <w:bottom w:val="none" w:sz="0" w:space="0" w:color="auto"/>
            <w:right w:val="none" w:sz="0" w:space="0" w:color="auto"/>
          </w:divBdr>
        </w:div>
      </w:divsChild>
    </w:div>
    <w:div w:id="1937638556">
      <w:bodyDiv w:val="1"/>
      <w:marLeft w:val="0"/>
      <w:marRight w:val="0"/>
      <w:marTop w:val="0"/>
      <w:marBottom w:val="0"/>
      <w:divBdr>
        <w:top w:val="none" w:sz="0" w:space="0" w:color="auto"/>
        <w:left w:val="none" w:sz="0" w:space="0" w:color="auto"/>
        <w:bottom w:val="none" w:sz="0" w:space="0" w:color="auto"/>
        <w:right w:val="none" w:sz="0" w:space="0" w:color="auto"/>
      </w:divBdr>
    </w:div>
    <w:div w:id="1988120457">
      <w:bodyDiv w:val="1"/>
      <w:marLeft w:val="0"/>
      <w:marRight w:val="0"/>
      <w:marTop w:val="0"/>
      <w:marBottom w:val="0"/>
      <w:divBdr>
        <w:top w:val="none" w:sz="0" w:space="0" w:color="auto"/>
        <w:left w:val="none" w:sz="0" w:space="0" w:color="auto"/>
        <w:bottom w:val="none" w:sz="0" w:space="0" w:color="auto"/>
        <w:right w:val="none" w:sz="0" w:space="0" w:color="auto"/>
      </w:divBdr>
      <w:divsChild>
        <w:div w:id="1846942670">
          <w:marLeft w:val="0"/>
          <w:marRight w:val="0"/>
          <w:marTop w:val="0"/>
          <w:marBottom w:val="0"/>
          <w:divBdr>
            <w:top w:val="none" w:sz="0" w:space="0" w:color="auto"/>
            <w:left w:val="none" w:sz="0" w:space="0" w:color="auto"/>
            <w:bottom w:val="none" w:sz="0" w:space="0" w:color="auto"/>
            <w:right w:val="none" w:sz="0" w:space="0" w:color="auto"/>
          </w:divBdr>
        </w:div>
        <w:div w:id="771432422">
          <w:marLeft w:val="0"/>
          <w:marRight w:val="0"/>
          <w:marTop w:val="0"/>
          <w:marBottom w:val="0"/>
          <w:divBdr>
            <w:top w:val="none" w:sz="0" w:space="0" w:color="auto"/>
            <w:left w:val="none" w:sz="0" w:space="0" w:color="auto"/>
            <w:bottom w:val="none" w:sz="0" w:space="0" w:color="auto"/>
            <w:right w:val="none" w:sz="0" w:space="0" w:color="auto"/>
          </w:divBdr>
        </w:div>
        <w:div w:id="1184444721">
          <w:marLeft w:val="0"/>
          <w:marRight w:val="0"/>
          <w:marTop w:val="0"/>
          <w:marBottom w:val="0"/>
          <w:divBdr>
            <w:top w:val="none" w:sz="0" w:space="0" w:color="auto"/>
            <w:left w:val="none" w:sz="0" w:space="0" w:color="auto"/>
            <w:bottom w:val="none" w:sz="0" w:space="0" w:color="auto"/>
            <w:right w:val="none" w:sz="0" w:space="0" w:color="auto"/>
          </w:divBdr>
        </w:div>
        <w:div w:id="1072696270">
          <w:marLeft w:val="0"/>
          <w:marRight w:val="0"/>
          <w:marTop w:val="0"/>
          <w:marBottom w:val="0"/>
          <w:divBdr>
            <w:top w:val="none" w:sz="0" w:space="0" w:color="auto"/>
            <w:left w:val="none" w:sz="0" w:space="0" w:color="auto"/>
            <w:bottom w:val="none" w:sz="0" w:space="0" w:color="auto"/>
            <w:right w:val="none" w:sz="0" w:space="0" w:color="auto"/>
          </w:divBdr>
        </w:div>
        <w:div w:id="1465465173">
          <w:marLeft w:val="0"/>
          <w:marRight w:val="0"/>
          <w:marTop w:val="0"/>
          <w:marBottom w:val="0"/>
          <w:divBdr>
            <w:top w:val="none" w:sz="0" w:space="0" w:color="auto"/>
            <w:left w:val="none" w:sz="0" w:space="0" w:color="auto"/>
            <w:bottom w:val="none" w:sz="0" w:space="0" w:color="auto"/>
            <w:right w:val="none" w:sz="0" w:space="0" w:color="auto"/>
          </w:divBdr>
        </w:div>
        <w:div w:id="368997549">
          <w:marLeft w:val="0"/>
          <w:marRight w:val="0"/>
          <w:marTop w:val="0"/>
          <w:marBottom w:val="0"/>
          <w:divBdr>
            <w:top w:val="none" w:sz="0" w:space="0" w:color="auto"/>
            <w:left w:val="none" w:sz="0" w:space="0" w:color="auto"/>
            <w:bottom w:val="none" w:sz="0" w:space="0" w:color="auto"/>
            <w:right w:val="none" w:sz="0" w:space="0" w:color="auto"/>
          </w:divBdr>
        </w:div>
        <w:div w:id="1050688590">
          <w:marLeft w:val="0"/>
          <w:marRight w:val="0"/>
          <w:marTop w:val="0"/>
          <w:marBottom w:val="0"/>
          <w:divBdr>
            <w:top w:val="none" w:sz="0" w:space="0" w:color="auto"/>
            <w:left w:val="none" w:sz="0" w:space="0" w:color="auto"/>
            <w:bottom w:val="none" w:sz="0" w:space="0" w:color="auto"/>
            <w:right w:val="none" w:sz="0" w:space="0" w:color="auto"/>
          </w:divBdr>
        </w:div>
        <w:div w:id="682632758">
          <w:marLeft w:val="0"/>
          <w:marRight w:val="0"/>
          <w:marTop w:val="0"/>
          <w:marBottom w:val="0"/>
          <w:divBdr>
            <w:top w:val="none" w:sz="0" w:space="0" w:color="auto"/>
            <w:left w:val="none" w:sz="0" w:space="0" w:color="auto"/>
            <w:bottom w:val="none" w:sz="0" w:space="0" w:color="auto"/>
            <w:right w:val="none" w:sz="0" w:space="0" w:color="auto"/>
          </w:divBdr>
        </w:div>
        <w:div w:id="1817527049">
          <w:marLeft w:val="0"/>
          <w:marRight w:val="0"/>
          <w:marTop w:val="0"/>
          <w:marBottom w:val="0"/>
          <w:divBdr>
            <w:top w:val="none" w:sz="0" w:space="0" w:color="auto"/>
            <w:left w:val="none" w:sz="0" w:space="0" w:color="auto"/>
            <w:bottom w:val="none" w:sz="0" w:space="0" w:color="auto"/>
            <w:right w:val="none" w:sz="0" w:space="0" w:color="auto"/>
          </w:divBdr>
        </w:div>
        <w:div w:id="1038510395">
          <w:marLeft w:val="0"/>
          <w:marRight w:val="0"/>
          <w:marTop w:val="0"/>
          <w:marBottom w:val="0"/>
          <w:divBdr>
            <w:top w:val="none" w:sz="0" w:space="0" w:color="auto"/>
            <w:left w:val="none" w:sz="0" w:space="0" w:color="auto"/>
            <w:bottom w:val="none" w:sz="0" w:space="0" w:color="auto"/>
            <w:right w:val="none" w:sz="0" w:space="0" w:color="auto"/>
          </w:divBdr>
        </w:div>
        <w:div w:id="606422459">
          <w:marLeft w:val="0"/>
          <w:marRight w:val="0"/>
          <w:marTop w:val="0"/>
          <w:marBottom w:val="0"/>
          <w:divBdr>
            <w:top w:val="none" w:sz="0" w:space="0" w:color="auto"/>
            <w:left w:val="none" w:sz="0" w:space="0" w:color="auto"/>
            <w:bottom w:val="none" w:sz="0" w:space="0" w:color="auto"/>
            <w:right w:val="none" w:sz="0" w:space="0" w:color="auto"/>
          </w:divBdr>
        </w:div>
        <w:div w:id="939222096">
          <w:marLeft w:val="0"/>
          <w:marRight w:val="0"/>
          <w:marTop w:val="0"/>
          <w:marBottom w:val="0"/>
          <w:divBdr>
            <w:top w:val="none" w:sz="0" w:space="0" w:color="auto"/>
            <w:left w:val="none" w:sz="0" w:space="0" w:color="auto"/>
            <w:bottom w:val="none" w:sz="0" w:space="0" w:color="auto"/>
            <w:right w:val="none" w:sz="0" w:space="0" w:color="auto"/>
          </w:divBdr>
        </w:div>
        <w:div w:id="150291709">
          <w:marLeft w:val="0"/>
          <w:marRight w:val="0"/>
          <w:marTop w:val="0"/>
          <w:marBottom w:val="0"/>
          <w:divBdr>
            <w:top w:val="none" w:sz="0" w:space="0" w:color="auto"/>
            <w:left w:val="none" w:sz="0" w:space="0" w:color="auto"/>
            <w:bottom w:val="none" w:sz="0" w:space="0" w:color="auto"/>
            <w:right w:val="none" w:sz="0" w:space="0" w:color="auto"/>
          </w:divBdr>
        </w:div>
        <w:div w:id="872961134">
          <w:marLeft w:val="0"/>
          <w:marRight w:val="0"/>
          <w:marTop w:val="0"/>
          <w:marBottom w:val="0"/>
          <w:divBdr>
            <w:top w:val="none" w:sz="0" w:space="0" w:color="auto"/>
            <w:left w:val="none" w:sz="0" w:space="0" w:color="auto"/>
            <w:bottom w:val="none" w:sz="0" w:space="0" w:color="auto"/>
            <w:right w:val="none" w:sz="0" w:space="0" w:color="auto"/>
          </w:divBdr>
        </w:div>
        <w:div w:id="786506516">
          <w:marLeft w:val="0"/>
          <w:marRight w:val="0"/>
          <w:marTop w:val="0"/>
          <w:marBottom w:val="0"/>
          <w:divBdr>
            <w:top w:val="none" w:sz="0" w:space="0" w:color="auto"/>
            <w:left w:val="none" w:sz="0" w:space="0" w:color="auto"/>
            <w:bottom w:val="none" w:sz="0" w:space="0" w:color="auto"/>
            <w:right w:val="none" w:sz="0" w:space="0" w:color="auto"/>
          </w:divBdr>
        </w:div>
        <w:div w:id="1375737172">
          <w:marLeft w:val="0"/>
          <w:marRight w:val="0"/>
          <w:marTop w:val="0"/>
          <w:marBottom w:val="0"/>
          <w:divBdr>
            <w:top w:val="none" w:sz="0" w:space="0" w:color="auto"/>
            <w:left w:val="none" w:sz="0" w:space="0" w:color="auto"/>
            <w:bottom w:val="none" w:sz="0" w:space="0" w:color="auto"/>
            <w:right w:val="none" w:sz="0" w:space="0" w:color="auto"/>
          </w:divBdr>
        </w:div>
        <w:div w:id="1476335992">
          <w:marLeft w:val="0"/>
          <w:marRight w:val="0"/>
          <w:marTop w:val="0"/>
          <w:marBottom w:val="0"/>
          <w:divBdr>
            <w:top w:val="none" w:sz="0" w:space="0" w:color="auto"/>
            <w:left w:val="none" w:sz="0" w:space="0" w:color="auto"/>
            <w:bottom w:val="none" w:sz="0" w:space="0" w:color="auto"/>
            <w:right w:val="none" w:sz="0" w:space="0" w:color="auto"/>
          </w:divBdr>
        </w:div>
        <w:div w:id="709456766">
          <w:marLeft w:val="0"/>
          <w:marRight w:val="0"/>
          <w:marTop w:val="0"/>
          <w:marBottom w:val="0"/>
          <w:divBdr>
            <w:top w:val="none" w:sz="0" w:space="0" w:color="auto"/>
            <w:left w:val="none" w:sz="0" w:space="0" w:color="auto"/>
            <w:bottom w:val="none" w:sz="0" w:space="0" w:color="auto"/>
            <w:right w:val="none" w:sz="0" w:space="0" w:color="auto"/>
          </w:divBdr>
        </w:div>
        <w:div w:id="1654676195">
          <w:marLeft w:val="0"/>
          <w:marRight w:val="0"/>
          <w:marTop w:val="0"/>
          <w:marBottom w:val="0"/>
          <w:divBdr>
            <w:top w:val="none" w:sz="0" w:space="0" w:color="auto"/>
            <w:left w:val="none" w:sz="0" w:space="0" w:color="auto"/>
            <w:bottom w:val="none" w:sz="0" w:space="0" w:color="auto"/>
            <w:right w:val="none" w:sz="0" w:space="0" w:color="auto"/>
          </w:divBdr>
        </w:div>
        <w:div w:id="1479223345">
          <w:marLeft w:val="0"/>
          <w:marRight w:val="0"/>
          <w:marTop w:val="0"/>
          <w:marBottom w:val="0"/>
          <w:divBdr>
            <w:top w:val="none" w:sz="0" w:space="0" w:color="auto"/>
            <w:left w:val="none" w:sz="0" w:space="0" w:color="auto"/>
            <w:bottom w:val="none" w:sz="0" w:space="0" w:color="auto"/>
            <w:right w:val="none" w:sz="0" w:space="0" w:color="auto"/>
          </w:divBdr>
        </w:div>
        <w:div w:id="1912890104">
          <w:marLeft w:val="0"/>
          <w:marRight w:val="0"/>
          <w:marTop w:val="0"/>
          <w:marBottom w:val="0"/>
          <w:divBdr>
            <w:top w:val="none" w:sz="0" w:space="0" w:color="auto"/>
            <w:left w:val="none" w:sz="0" w:space="0" w:color="auto"/>
            <w:bottom w:val="none" w:sz="0" w:space="0" w:color="auto"/>
            <w:right w:val="none" w:sz="0" w:space="0" w:color="auto"/>
          </w:divBdr>
        </w:div>
      </w:divsChild>
    </w:div>
    <w:div w:id="2030527234">
      <w:bodyDiv w:val="1"/>
      <w:marLeft w:val="0"/>
      <w:marRight w:val="0"/>
      <w:marTop w:val="0"/>
      <w:marBottom w:val="0"/>
      <w:divBdr>
        <w:top w:val="none" w:sz="0" w:space="0" w:color="auto"/>
        <w:left w:val="none" w:sz="0" w:space="0" w:color="auto"/>
        <w:bottom w:val="none" w:sz="0" w:space="0" w:color="auto"/>
        <w:right w:val="none" w:sz="0" w:space="0" w:color="auto"/>
      </w:divBdr>
    </w:div>
    <w:div w:id="2113284436">
      <w:bodyDiv w:val="1"/>
      <w:marLeft w:val="0"/>
      <w:marRight w:val="0"/>
      <w:marTop w:val="0"/>
      <w:marBottom w:val="0"/>
      <w:divBdr>
        <w:top w:val="none" w:sz="0" w:space="0" w:color="auto"/>
        <w:left w:val="none" w:sz="0" w:space="0" w:color="auto"/>
        <w:bottom w:val="none" w:sz="0" w:space="0" w:color="auto"/>
        <w:right w:val="none" w:sz="0" w:space="0" w:color="auto"/>
      </w:divBdr>
    </w:div>
    <w:div w:id="211932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4.xml"/><Relationship Id="rId27" Type="http://schemas.microsoft.com/office/2016/09/relationships/commentsIds" Target="commentsIds.xml"/></Relationships>
</file>

<file path=word/_rels/footnotes.xml.rels><?xml version="1.0" encoding="UTF-8" standalone="yes"?>
<Relationships xmlns="http://schemas.openxmlformats.org/package/2006/relationships"><Relationship Id="rId1" Type="http://schemas.openxmlformats.org/officeDocument/2006/relationships/hyperlink" Target="https://www.energy-community.org/news/Energy-Community-News/2018/02/07.htm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7EFB1-4167-466C-B6EB-F8DE19BD6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16413</Words>
  <Characters>93559</Characters>
  <Application>Microsoft Office Word</Application>
  <DocSecurity>0</DocSecurity>
  <Lines>779</Lines>
  <Paragraphs>219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109753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2018-07-11T13:46:00Z</dcterms:created>
  <dcterms:modified xsi:type="dcterms:W3CDTF">2018-07-12T09:41:00Z</dcterms:modified>
</cp:coreProperties>
</file>